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sz w:val="44"/>
          <w:szCs w:val="44"/>
        </w:rPr>
      </w:pPr>
    </w:p>
    <w:p>
      <w:pPr>
        <w:spacing w:line="560" w:lineRule="exact"/>
        <w:rPr>
          <w:rFonts w:ascii="Times New Roman" w:hAnsi="Times New Roman" w:eastAsia="宋体"/>
          <w:sz w:val="44"/>
          <w:szCs w:val="44"/>
        </w:rPr>
      </w:pPr>
    </w:p>
    <w:p>
      <w:pPr>
        <w:spacing w:line="560" w:lineRule="exact"/>
        <w:jc w:val="center"/>
        <w:rPr>
          <w:rFonts w:ascii="Times New Roman" w:hAnsi="Times New Roman" w:eastAsia="宋体"/>
          <w:sz w:val="44"/>
          <w:szCs w:val="44"/>
        </w:rPr>
      </w:pPr>
      <w:r>
        <w:rPr>
          <w:rFonts w:ascii="Times New Roman" w:hAnsi="Times New Roman" w:eastAsia="宋体"/>
          <w:sz w:val="44"/>
          <w:szCs w:val="44"/>
          <w:lang w:bidi="ar"/>
        </w:rPr>
        <w:t>五经普填报问题汇编</w:t>
      </w:r>
      <w:r>
        <w:rPr>
          <w:rFonts w:hint="eastAsia" w:ascii="Times New Roman" w:hAnsi="Times New Roman" w:eastAsia="宋体"/>
          <w:sz w:val="44"/>
          <w:szCs w:val="44"/>
          <w:lang w:bidi="ar"/>
        </w:rPr>
        <w:t>工作稿（供参考）</w:t>
      </w:r>
    </w:p>
    <w:p>
      <w:pPr>
        <w:spacing w:line="560" w:lineRule="exact"/>
        <w:rPr>
          <w:rFonts w:ascii="Times New Roman" w:hAnsi="Times New Roman" w:eastAsia="宋体"/>
          <w:sz w:val="44"/>
          <w:szCs w:val="44"/>
        </w:rPr>
      </w:pPr>
    </w:p>
    <w:p>
      <w:pPr>
        <w:spacing w:line="560" w:lineRule="exact"/>
        <w:ind w:firstLine="640" w:firstLineChars="200"/>
        <w:rPr>
          <w:rFonts w:ascii="Times New Roman" w:hAnsi="Times New Roman" w:eastAsia="黑体"/>
          <w:sz w:val="32"/>
          <w:szCs w:val="32"/>
          <w:lang w:bidi="ar"/>
        </w:rPr>
      </w:pPr>
      <w:r>
        <w:rPr>
          <w:rFonts w:ascii="Times New Roman" w:hAnsi="Times New Roman" w:eastAsia="黑体"/>
          <w:sz w:val="32"/>
          <w:szCs w:val="32"/>
          <w:lang w:bidi="ar"/>
        </w:rPr>
        <w:t>一、</w:t>
      </w:r>
      <w:r>
        <w:rPr>
          <w:rFonts w:hint="eastAsia" w:ascii="Times New Roman" w:hAnsi="Times New Roman" w:eastAsia="黑体"/>
          <w:sz w:val="32"/>
          <w:szCs w:val="32"/>
          <w:lang w:bidi="ar"/>
        </w:rPr>
        <w:t>重点问题</w:t>
      </w:r>
    </w:p>
    <w:p>
      <w:pPr>
        <w:spacing w:line="560" w:lineRule="exact"/>
        <w:ind w:firstLine="640" w:firstLineChars="200"/>
        <w:rPr>
          <w:rFonts w:ascii="楷体_GB2312" w:hAnsi="Times New Roman" w:eastAsia="楷体_GB2312"/>
          <w:sz w:val="32"/>
          <w:szCs w:val="32"/>
          <w:lang w:eastAsia="zh" w:bidi="ar"/>
        </w:rPr>
      </w:pPr>
      <w:r>
        <w:rPr>
          <w:rFonts w:hint="eastAsia" w:ascii="楷体_GB2312" w:hAnsi="Times New Roman" w:eastAsia="楷体_GB2312"/>
          <w:sz w:val="32"/>
          <w:szCs w:val="32"/>
          <w:lang w:eastAsia="zh" w:bidi="ar"/>
        </w:rPr>
        <w:t>（一）</w:t>
      </w:r>
      <w:r>
        <w:rPr>
          <w:rFonts w:hint="eastAsia" w:ascii="楷体_GB2312" w:hAnsi="Times New Roman" w:eastAsia="楷体_GB2312"/>
          <w:sz w:val="32"/>
          <w:szCs w:val="32"/>
          <w:lang w:bidi="ar"/>
        </w:rPr>
        <w:t>关于</w:t>
      </w:r>
      <w:r>
        <w:rPr>
          <w:rFonts w:hint="eastAsia" w:ascii="楷体_GB2312" w:hAnsi="Times New Roman" w:eastAsia="楷体_GB2312"/>
          <w:sz w:val="32"/>
          <w:szCs w:val="32"/>
          <w:lang w:eastAsia="zh" w:bidi="ar"/>
        </w:rPr>
        <w:t>普查对象</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本次普查对象总体可以分为法人单位和产业活动单位两类。其中，资本市场服务业法人单位包括：证监会机关、各派出机构、各交易所、各会管单位、证券公司、基金公司、期货公司、证券公司子公司、基金公司子公司、期货公司子公司、投资咨询机构、独立基金销售机构、外国驻华代表处、资信评级机构等。产业活动单位</w:t>
      </w:r>
      <w:r>
        <w:rPr>
          <w:rFonts w:hint="eastAsia" w:ascii="Times New Roman" w:hAnsi="Times New Roman" w:eastAsia="仿宋_GB2312"/>
          <w:sz w:val="32"/>
          <w:szCs w:val="32"/>
          <w:lang w:bidi="ar"/>
        </w:rPr>
        <w:t>主要</w:t>
      </w:r>
      <w:r>
        <w:rPr>
          <w:rFonts w:hint="eastAsia" w:ascii="Times New Roman" w:hAnsi="Times New Roman" w:eastAsia="仿宋_GB2312"/>
          <w:sz w:val="32"/>
          <w:szCs w:val="32"/>
          <w:lang w:eastAsia="zh" w:bidi="ar"/>
        </w:rPr>
        <w:t>为证券、基金和期货的分支机构（分公司）和营业部。各普查对象所需要填写的表格详见附件1。</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证券、基金、期货公司作为法人单位，填写数据需要包括</w:t>
      </w:r>
      <w:r>
        <w:rPr>
          <w:rFonts w:hint="eastAsia" w:ascii="Times New Roman" w:hAnsi="Times New Roman" w:eastAsia="仿宋_GB2312"/>
          <w:sz w:val="32"/>
          <w:szCs w:val="32"/>
          <w:lang w:bidi="ar"/>
        </w:rPr>
        <w:t>总公司</w:t>
      </w:r>
      <w:r>
        <w:rPr>
          <w:rStyle w:val="23"/>
          <w:rFonts w:ascii="Times New Roman" w:hAnsi="Times New Roman" w:eastAsia="仿宋_GB2312"/>
          <w:sz w:val="32"/>
          <w:szCs w:val="32"/>
          <w:lang w:bidi="ar"/>
        </w:rPr>
        <w:footnoteReference w:id="0"/>
      </w:r>
      <w:r>
        <w:rPr>
          <w:rFonts w:hint="eastAsia" w:ascii="Times New Roman" w:hAnsi="Times New Roman" w:eastAsia="仿宋_GB2312"/>
          <w:sz w:val="32"/>
          <w:szCs w:val="32"/>
          <w:lang w:eastAsia="zh" w:bidi="ar"/>
        </w:rPr>
        <w:t>本部</w:t>
      </w:r>
      <w:r>
        <w:rPr>
          <w:rFonts w:hint="eastAsia" w:ascii="Times New Roman" w:hAnsi="Times New Roman" w:eastAsia="仿宋_GB2312"/>
          <w:sz w:val="32"/>
          <w:szCs w:val="32"/>
          <w:lang w:bidi="ar"/>
        </w:rPr>
        <w:t>（本级）</w:t>
      </w:r>
      <w:r>
        <w:rPr>
          <w:rFonts w:hint="eastAsia" w:ascii="Times New Roman" w:hAnsi="Times New Roman" w:eastAsia="仿宋_GB2312"/>
          <w:sz w:val="32"/>
          <w:szCs w:val="32"/>
          <w:lang w:eastAsia="zh" w:bidi="ar"/>
        </w:rPr>
        <w:t>、分公司、营业部三者的合并情况，但其中不含作为法人单位的子公司。分公司、营业部作为产业活动单位，仅需填写《金融业调查单位基本情况》（表615），其中的收入、人员等数据填写本级数据（分公司不含所管辖的营业部），</w:t>
      </w:r>
      <w:r>
        <w:rPr>
          <w:rFonts w:ascii="Times New Roman" w:hAnsi="Times New Roman" w:eastAsia="仿宋_GB2312"/>
          <w:sz w:val="32"/>
          <w:szCs w:val="32"/>
          <w:lang w:eastAsia="zh" w:bidi="ar"/>
        </w:rPr>
        <w:t>归属法人单位的</w:t>
      </w:r>
      <w:r>
        <w:rPr>
          <w:rFonts w:hint="eastAsia" w:ascii="Times New Roman" w:hAnsi="Times New Roman" w:eastAsia="仿宋_GB2312"/>
          <w:sz w:val="32"/>
          <w:szCs w:val="32"/>
          <w:lang w:eastAsia="zh" w:bidi="ar"/>
        </w:rPr>
        <w:t>信用代码、名称、</w:t>
      </w:r>
      <w:r>
        <w:rPr>
          <w:rFonts w:ascii="Times New Roman" w:hAnsi="Times New Roman" w:eastAsia="仿宋_GB2312"/>
          <w:sz w:val="32"/>
          <w:szCs w:val="32"/>
          <w:lang w:eastAsia="zh" w:bidi="ar"/>
        </w:rPr>
        <w:t>地址和区划代码</w:t>
      </w:r>
      <w:r>
        <w:rPr>
          <w:rFonts w:hint="eastAsia" w:ascii="Times New Roman" w:hAnsi="Times New Roman" w:eastAsia="仿宋_GB2312"/>
          <w:sz w:val="32"/>
          <w:szCs w:val="32"/>
          <w:lang w:eastAsia="zh" w:bidi="ar"/>
        </w:rPr>
        <w:t>由法人单位统一明确。对于</w:t>
      </w:r>
      <w:r>
        <w:rPr>
          <w:rFonts w:hint="eastAsia" w:ascii="Times New Roman" w:hAnsi="Times New Roman" w:eastAsia="仿宋_GB2312"/>
          <w:sz w:val="32"/>
          <w:szCs w:val="32"/>
          <w:lang w:bidi="ar"/>
        </w:rPr>
        <w:t>总公司</w:t>
      </w:r>
      <w:r>
        <w:rPr>
          <w:rFonts w:hint="eastAsia" w:ascii="Times New Roman" w:hAnsi="Times New Roman" w:eastAsia="仿宋_GB2312"/>
          <w:sz w:val="32"/>
          <w:szCs w:val="32"/>
          <w:lang w:eastAsia="zh" w:bidi="ar"/>
        </w:rPr>
        <w:t>本部</w:t>
      </w:r>
      <w:r>
        <w:rPr>
          <w:rFonts w:hint="eastAsia" w:ascii="Times New Roman" w:hAnsi="Times New Roman" w:eastAsia="仿宋_GB2312"/>
          <w:sz w:val="32"/>
          <w:szCs w:val="32"/>
          <w:lang w:bidi="ar"/>
        </w:rPr>
        <w:t>（本级）</w:t>
      </w:r>
      <w:r>
        <w:rPr>
          <w:rFonts w:hint="eastAsia" w:ascii="Times New Roman" w:hAnsi="Times New Roman" w:eastAsia="仿宋_GB2312"/>
          <w:sz w:val="32"/>
          <w:szCs w:val="32"/>
          <w:lang w:eastAsia="zh" w:bidi="ar"/>
        </w:rPr>
        <w:t>，如果符合产业活动单位，则作为</w:t>
      </w:r>
      <w:r>
        <w:rPr>
          <w:rFonts w:hint="eastAsia" w:ascii="Times New Roman" w:hAnsi="Times New Roman" w:eastAsia="仿宋_GB2312"/>
          <w:sz w:val="32"/>
          <w:szCs w:val="32"/>
          <w:lang w:bidi="ar"/>
        </w:rPr>
        <w:t>总公司</w:t>
      </w:r>
      <w:r>
        <w:rPr>
          <w:rFonts w:hint="eastAsia" w:ascii="Times New Roman" w:hAnsi="Times New Roman" w:eastAsia="仿宋_GB2312"/>
          <w:sz w:val="32"/>
          <w:szCs w:val="32"/>
          <w:lang w:eastAsia="zh" w:bidi="ar"/>
        </w:rPr>
        <w:t>本部</w:t>
      </w:r>
      <w:r>
        <w:rPr>
          <w:rFonts w:hint="eastAsia" w:ascii="Times New Roman" w:hAnsi="Times New Roman" w:eastAsia="仿宋_GB2312"/>
          <w:sz w:val="32"/>
          <w:szCs w:val="32"/>
          <w:lang w:bidi="ar"/>
        </w:rPr>
        <w:t>（本级）</w:t>
      </w:r>
      <w:r>
        <w:rPr>
          <w:rFonts w:hint="eastAsia" w:ascii="Times New Roman" w:hAnsi="Times New Roman" w:eastAsia="仿宋_GB2312"/>
          <w:sz w:val="32"/>
          <w:szCs w:val="32"/>
          <w:lang w:eastAsia="zh" w:bidi="ar"/>
        </w:rPr>
        <w:t>的产业活动单位进行填报。如果</w:t>
      </w:r>
      <w:r>
        <w:rPr>
          <w:rFonts w:hint="eastAsia" w:ascii="Times New Roman" w:hAnsi="Times New Roman" w:eastAsia="仿宋_GB2312"/>
          <w:sz w:val="32"/>
          <w:szCs w:val="32"/>
          <w:lang w:bidi="ar"/>
        </w:rPr>
        <w:t>总公司</w:t>
      </w:r>
      <w:r>
        <w:rPr>
          <w:rFonts w:hint="eastAsia" w:ascii="Times New Roman" w:hAnsi="Times New Roman" w:eastAsia="仿宋_GB2312"/>
          <w:sz w:val="32"/>
          <w:szCs w:val="32"/>
          <w:lang w:eastAsia="zh" w:bidi="ar"/>
        </w:rPr>
        <w:t>本部</w:t>
      </w:r>
      <w:r>
        <w:rPr>
          <w:rFonts w:hint="eastAsia" w:ascii="Times New Roman" w:hAnsi="Times New Roman" w:eastAsia="仿宋_GB2312"/>
          <w:sz w:val="32"/>
          <w:szCs w:val="32"/>
          <w:lang w:bidi="ar"/>
        </w:rPr>
        <w:t>（本级）</w:t>
      </w:r>
      <w:r>
        <w:rPr>
          <w:rFonts w:hint="eastAsia" w:ascii="Times New Roman" w:hAnsi="Times New Roman" w:eastAsia="仿宋_GB2312"/>
          <w:sz w:val="32"/>
          <w:szCs w:val="32"/>
          <w:lang w:eastAsia="zh" w:bidi="ar"/>
        </w:rPr>
        <w:t>具有法人资格，且自己从事对外经营活动，则按所从事的活动单独填报法人单位普查表，其各项指标只包括本部</w:t>
      </w:r>
      <w:r>
        <w:rPr>
          <w:rFonts w:hint="eastAsia" w:ascii="Times New Roman" w:hAnsi="Times New Roman" w:eastAsia="仿宋_GB2312"/>
          <w:sz w:val="32"/>
          <w:szCs w:val="32"/>
          <w:lang w:bidi="ar"/>
        </w:rPr>
        <w:t>（本级）</w:t>
      </w:r>
      <w:r>
        <w:rPr>
          <w:rFonts w:hint="eastAsia" w:ascii="Times New Roman" w:hAnsi="Times New Roman" w:eastAsia="仿宋_GB2312"/>
          <w:sz w:val="32"/>
          <w:szCs w:val="32"/>
          <w:lang w:eastAsia="zh" w:bidi="ar"/>
        </w:rPr>
        <w:t>的数据。此外，若</w:t>
      </w:r>
      <w:r>
        <w:rPr>
          <w:rFonts w:hint="eastAsia" w:ascii="Times New Roman" w:hAnsi="Times New Roman" w:eastAsia="仿宋_GB2312"/>
          <w:sz w:val="32"/>
          <w:szCs w:val="32"/>
          <w:lang w:bidi="ar"/>
        </w:rPr>
        <w:t>总公司</w:t>
      </w:r>
      <w:r>
        <w:rPr>
          <w:rFonts w:hint="eastAsia" w:ascii="Times New Roman" w:hAnsi="Times New Roman" w:eastAsia="仿宋_GB2312"/>
          <w:sz w:val="32"/>
          <w:szCs w:val="32"/>
          <w:lang w:eastAsia="zh" w:bidi="ar"/>
        </w:rPr>
        <w:t>本部</w:t>
      </w:r>
      <w:r>
        <w:rPr>
          <w:rFonts w:hint="eastAsia" w:ascii="Times New Roman" w:hAnsi="Times New Roman" w:eastAsia="仿宋_GB2312"/>
          <w:sz w:val="32"/>
          <w:szCs w:val="32"/>
          <w:lang w:bidi="ar"/>
        </w:rPr>
        <w:t>（本级）</w:t>
      </w:r>
      <w:r>
        <w:rPr>
          <w:rFonts w:hint="eastAsia" w:ascii="Times New Roman" w:hAnsi="Times New Roman" w:eastAsia="仿宋_GB2312"/>
          <w:sz w:val="32"/>
          <w:szCs w:val="32"/>
          <w:lang w:eastAsia="zh" w:bidi="ar"/>
        </w:rPr>
        <w:t>有两处以上社会经济活动所在地（实际经营地、实际运营地等）的普查对象，符合条件的，分别作为法人单位和产业活动单位进行普查，否则归入主要社会经济活动所在地（实际经营地、实际运营地等）县级区域的普查范围。可将法人单位经营总部（实体管理机构）所在地作为主要经营活动所在地。</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eastAsia="zh" w:bidi="ar"/>
        </w:rPr>
        <w:t>对于证券、基金、期货的子公司，其作为法人单位，均需按自身情况填报对应的资产负债表、利润表、业务及管理费用明细、投入结构等表格。</w:t>
      </w:r>
      <w:r>
        <w:rPr>
          <w:rFonts w:hint="eastAsia" w:ascii="Times New Roman" w:hAnsi="Times New Roman" w:eastAsia="仿宋_GB2312"/>
          <w:sz w:val="32"/>
          <w:szCs w:val="32"/>
          <w:lang w:bidi="ar"/>
        </w:rPr>
        <w:t>法人单位与法人单位的子公司分别填写，且该法人单位普查数据不包括下属子公司。</w:t>
      </w:r>
    </w:p>
    <w:p>
      <w:pPr>
        <w:numPr>
          <w:ilvl w:val="0"/>
          <w:numId w:val="1"/>
        </w:numPr>
        <w:spacing w:line="560" w:lineRule="exact"/>
        <w:ind w:firstLine="640" w:firstLineChars="200"/>
        <w:rPr>
          <w:rFonts w:ascii="楷体_GB2312" w:hAnsi="Times New Roman" w:eastAsia="楷体_GB2312"/>
          <w:sz w:val="32"/>
          <w:szCs w:val="32"/>
          <w:lang w:eastAsia="zh" w:bidi="ar"/>
        </w:rPr>
      </w:pPr>
      <w:r>
        <w:rPr>
          <w:rFonts w:hint="eastAsia" w:ascii="楷体_GB2312" w:hAnsi="Times New Roman" w:eastAsia="楷体_GB2312"/>
          <w:sz w:val="32"/>
          <w:szCs w:val="32"/>
          <w:lang w:bidi="ar"/>
        </w:rPr>
        <w:t>关于</w:t>
      </w:r>
      <w:r>
        <w:rPr>
          <w:rFonts w:hint="eastAsia" w:ascii="楷体_GB2312" w:hAnsi="Times New Roman" w:eastAsia="楷体_GB2312"/>
          <w:sz w:val="32"/>
          <w:szCs w:val="32"/>
          <w:lang w:eastAsia="zh" w:bidi="ar"/>
        </w:rPr>
        <w:t>普查时间和地址</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普查的标准时点为2023年12月31日。普查登记时，时点指标填写2023年12月31日数据，时期指标填写2023年1月1日—12月31日数据。例如，从业人员情况统计时间为2023.12.31。</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普查对象需根据实际情况填写《金融业调查单位基本情况》（表615）中的105项（单位所在地区划及详细地址）、106项（单位注册地区划及详细地址）和212项（单位详细地址）。如公司经营地和注册地不一致的，212项填写实际经营地地址。另，</w:t>
      </w:r>
      <w:r>
        <w:rPr>
          <w:rFonts w:ascii="Times New Roman" w:hAnsi="Times New Roman" w:eastAsia="仿宋_GB2312"/>
          <w:sz w:val="32"/>
          <w:szCs w:val="32"/>
          <w:lang w:eastAsia="zh" w:bidi="ar"/>
        </w:rPr>
        <w:t>普查小区代码、建筑物代码及底层唯一识别码</w:t>
      </w:r>
      <w:r>
        <w:rPr>
          <w:rFonts w:hint="eastAsia" w:ascii="Times New Roman" w:hAnsi="Times New Roman" w:eastAsia="仿宋_GB2312"/>
          <w:sz w:val="32"/>
          <w:szCs w:val="32"/>
          <w:lang w:eastAsia="zh" w:bidi="ar"/>
        </w:rPr>
        <w:t>、城乡代码和区划代码无需填写。</w:t>
      </w:r>
    </w:p>
    <w:p>
      <w:pPr>
        <w:spacing w:line="560" w:lineRule="exact"/>
        <w:ind w:firstLine="640" w:firstLineChars="200"/>
        <w:rPr>
          <w:rFonts w:ascii="楷体_GB2312" w:hAnsi="Times New Roman" w:eastAsia="楷体_GB2312"/>
          <w:sz w:val="32"/>
          <w:szCs w:val="32"/>
          <w:lang w:bidi="ar"/>
        </w:rPr>
      </w:pPr>
      <w:r>
        <w:rPr>
          <w:rFonts w:hint="eastAsia" w:ascii="楷体_GB2312" w:hAnsi="Times New Roman" w:eastAsia="楷体_GB2312"/>
          <w:sz w:val="32"/>
          <w:szCs w:val="32"/>
          <w:lang w:eastAsia="zh" w:bidi="ar"/>
        </w:rPr>
        <w:t>（三）</w:t>
      </w:r>
      <w:r>
        <w:rPr>
          <w:rFonts w:hint="eastAsia" w:ascii="楷体_GB2312" w:hAnsi="Times New Roman" w:eastAsia="楷体_GB2312"/>
          <w:sz w:val="32"/>
          <w:szCs w:val="32"/>
          <w:lang w:bidi="ar"/>
        </w:rPr>
        <w:t>关于</w:t>
      </w:r>
      <w:r>
        <w:rPr>
          <w:rFonts w:hint="eastAsia" w:ascii="楷体_GB2312" w:hAnsi="Times New Roman" w:eastAsia="楷体_GB2312"/>
          <w:sz w:val="32"/>
          <w:szCs w:val="32"/>
          <w:lang w:eastAsia="zh" w:bidi="ar"/>
        </w:rPr>
        <w:t>普查表格</w:t>
      </w:r>
      <w:r>
        <w:rPr>
          <w:rFonts w:hint="eastAsia" w:ascii="楷体_GB2312" w:hAnsi="Times New Roman" w:eastAsia="楷体_GB2312"/>
          <w:sz w:val="32"/>
          <w:szCs w:val="32"/>
          <w:lang w:bidi="ar"/>
        </w:rPr>
        <w:t>加载</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bidi="ar"/>
        </w:rPr>
        <w:t>表格无法加载</w:t>
      </w:r>
      <w:r>
        <w:rPr>
          <w:rFonts w:ascii="Times New Roman" w:hAnsi="Times New Roman" w:eastAsia="仿宋_GB2312"/>
          <w:sz w:val="32"/>
          <w:szCs w:val="32"/>
          <w:lang w:eastAsia="zh" w:bidi="ar"/>
        </w:rPr>
        <w:t>一般是公司对外网进行了限制，请尝试使用纯互联网环境，如笔记本连接手机热点。</w:t>
      </w:r>
    </w:p>
    <w:p>
      <w:pPr>
        <w:spacing w:line="560" w:lineRule="exact"/>
        <w:ind w:firstLine="640" w:firstLineChars="200"/>
        <w:rPr>
          <w:rFonts w:ascii="楷体_GB2312" w:hAnsi="Times New Roman" w:eastAsia="楷体_GB2312"/>
          <w:sz w:val="32"/>
          <w:szCs w:val="32"/>
          <w:lang w:eastAsia="zh" w:bidi="ar"/>
        </w:rPr>
      </w:pPr>
      <w:r>
        <w:rPr>
          <w:rFonts w:hint="eastAsia" w:ascii="楷体_GB2312" w:hAnsi="Times New Roman" w:eastAsia="楷体_GB2312"/>
          <w:sz w:val="32"/>
          <w:szCs w:val="32"/>
          <w:lang w:eastAsia="zh" w:bidi="ar"/>
        </w:rPr>
        <w:t>（四）</w:t>
      </w:r>
      <w:r>
        <w:rPr>
          <w:rFonts w:hint="eastAsia" w:ascii="楷体_GB2312" w:hAnsi="Times New Roman" w:eastAsia="楷体_GB2312"/>
          <w:sz w:val="32"/>
          <w:szCs w:val="32"/>
          <w:lang w:bidi="ar"/>
        </w:rPr>
        <w:t>关于</w:t>
      </w:r>
      <w:r>
        <w:rPr>
          <w:rFonts w:hint="eastAsia" w:ascii="楷体_GB2312" w:hAnsi="Times New Roman" w:eastAsia="楷体_GB2312"/>
          <w:sz w:val="32"/>
          <w:szCs w:val="32"/>
          <w:lang w:eastAsia="zh" w:bidi="ar"/>
        </w:rPr>
        <w:t>审计报告格式</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所有资本市场普查均需要根据金融业会计准则填报，如存在普查对象为非金融公司的情况，则需要调整为金融业会计准则进行填报。例如，中信中证资本管理有限公司目前为一般企业（非金融公司），交易所属于行政事业单位，均需按系统设定的表样填写。对于不从事盈利性活动（如外国代表处等）的普查对象，资产负债表、利润表可将空缺部分填0。对于无法提供审计数据的普查对象，可填未经审计数据。</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bidi="ar"/>
        </w:rPr>
        <w:t>二</w:t>
      </w:r>
      <w:r>
        <w:rPr>
          <w:rFonts w:ascii="Times New Roman" w:hAnsi="Times New Roman" w:eastAsia="黑体"/>
          <w:sz w:val="32"/>
          <w:szCs w:val="32"/>
          <w:lang w:bidi="ar"/>
        </w:rPr>
        <w:t>、填报口径问题</w:t>
      </w:r>
    </w:p>
    <w:p>
      <w:pPr>
        <w:spacing w:line="560" w:lineRule="exact"/>
        <w:ind w:firstLine="640" w:firstLineChars="200"/>
        <w:rPr>
          <w:rFonts w:ascii="Times New Roman" w:hAnsi="Times New Roman" w:eastAsia="楷体"/>
          <w:sz w:val="32"/>
          <w:szCs w:val="32"/>
          <w:lang w:bidi="ar"/>
        </w:rPr>
      </w:pPr>
      <w:r>
        <w:rPr>
          <w:rFonts w:hint="eastAsia" w:ascii="Times New Roman" w:hAnsi="Times New Roman" w:eastAsia="楷体"/>
          <w:sz w:val="32"/>
          <w:szCs w:val="32"/>
          <w:lang w:bidi="ar"/>
        </w:rPr>
        <w:t>（一）关于金融业基本情况</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1.单位负责人、统计负责人填报说明</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单位负责人。电子调查表应经单位负责人确认后，在指标中填写单位负责人姓名。所有单位均</w:t>
      </w:r>
      <w:r>
        <w:rPr>
          <w:rFonts w:hint="eastAsia" w:ascii="Times New Roman" w:hAnsi="Times New Roman" w:eastAsia="仿宋_GB2312"/>
          <w:sz w:val="32"/>
          <w:szCs w:val="32"/>
          <w:lang w:bidi="ar"/>
        </w:rPr>
        <w:t>需</w:t>
      </w:r>
      <w:r>
        <w:rPr>
          <w:rFonts w:hint="eastAsia" w:ascii="Times New Roman" w:hAnsi="Times New Roman" w:eastAsia="仿宋_GB2312"/>
          <w:sz w:val="32"/>
          <w:szCs w:val="32"/>
          <w:lang w:eastAsia="zh" w:bidi="ar"/>
        </w:rPr>
        <w:t>填写本项。例如，单位负责人于2024年1月份发生变更，封面的单位负责人应按照当前实际情况填写，但表615中法人信息按照2023年12月31日填写。</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统计负责人。本项需在专职统计人员对本表填报内容进行确认后填写。纸质调查表需由专职统计人员签字；电子调查表需经专职统计人员确认后，在指标中填写专职统计人员姓名。统计负责人没有对职务和级别的要求，由各单位自行把握。</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eastAsia="zh" w:bidi="ar"/>
        </w:rPr>
        <w:t>2.上级单位</w:t>
      </w:r>
      <w:r>
        <w:rPr>
          <w:rFonts w:hint="eastAsia" w:ascii="Times New Roman" w:hAnsi="Times New Roman" w:eastAsia="仿宋_GB2312"/>
          <w:sz w:val="32"/>
          <w:szCs w:val="32"/>
          <w:lang w:bidi="ar"/>
        </w:rPr>
        <w:t>填报说明</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212项上级法人单位只需填写第一大股东。对于交易所，证监会不是交易所</w:t>
      </w:r>
      <w:r>
        <w:rPr>
          <w:rFonts w:hint="eastAsia" w:ascii="Times New Roman" w:hAnsi="Times New Roman" w:eastAsia="仿宋_GB2312"/>
          <w:sz w:val="32"/>
          <w:szCs w:val="32"/>
          <w:lang w:bidi="ar"/>
        </w:rPr>
        <w:t>等会管单位</w:t>
      </w:r>
      <w:r>
        <w:rPr>
          <w:rFonts w:hint="eastAsia" w:ascii="Times New Roman" w:hAnsi="Times New Roman" w:eastAsia="仿宋_GB2312"/>
          <w:sz w:val="32"/>
          <w:szCs w:val="32"/>
          <w:lang w:eastAsia="zh" w:bidi="ar"/>
        </w:rPr>
        <w:t>的上级法人单位，证监会与</w:t>
      </w:r>
      <w:r>
        <w:rPr>
          <w:rFonts w:hint="eastAsia" w:ascii="Times New Roman" w:hAnsi="Times New Roman" w:eastAsia="仿宋_GB2312"/>
          <w:sz w:val="32"/>
          <w:szCs w:val="32"/>
          <w:lang w:bidi="ar"/>
        </w:rPr>
        <w:t>会管单位</w:t>
      </w:r>
      <w:r>
        <w:rPr>
          <w:rFonts w:hint="eastAsia" w:ascii="Times New Roman" w:hAnsi="Times New Roman" w:eastAsia="仿宋_GB2312"/>
          <w:sz w:val="32"/>
          <w:szCs w:val="32"/>
          <w:lang w:eastAsia="zh" w:bidi="ar"/>
        </w:rPr>
        <w:t>不存在持股关系，只是行政管理关系。如</w:t>
      </w:r>
      <w:r>
        <w:rPr>
          <w:rFonts w:hint="eastAsia" w:ascii="Times New Roman" w:hAnsi="Times New Roman" w:eastAsia="仿宋_GB2312"/>
          <w:sz w:val="32"/>
          <w:szCs w:val="32"/>
          <w:lang w:bidi="ar"/>
        </w:rPr>
        <w:t>会管单位（如会员制交易所）</w:t>
      </w:r>
      <w:r>
        <w:rPr>
          <w:rFonts w:hint="eastAsia" w:ascii="Times New Roman" w:hAnsi="Times New Roman" w:eastAsia="仿宋_GB2312"/>
          <w:sz w:val="32"/>
          <w:szCs w:val="32"/>
          <w:lang w:eastAsia="zh" w:bidi="ar"/>
        </w:rPr>
        <w:t>没有股东的话，则不存在上级法人单位</w:t>
      </w:r>
      <w:r>
        <w:rPr>
          <w:rFonts w:hint="eastAsia" w:ascii="Times New Roman" w:hAnsi="Times New Roman" w:eastAsia="仿宋_GB2312"/>
          <w:sz w:val="32"/>
          <w:szCs w:val="32"/>
          <w:lang w:bidi="ar"/>
        </w:rPr>
        <w:t>，无需填写</w:t>
      </w:r>
      <w:r>
        <w:rPr>
          <w:rFonts w:hint="eastAsia" w:ascii="Times New Roman" w:hAnsi="Times New Roman" w:eastAsia="仿宋_GB2312"/>
          <w:sz w:val="32"/>
          <w:szCs w:val="32"/>
          <w:lang w:eastAsia="zh" w:bidi="ar"/>
        </w:rPr>
        <w:t>。</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3.数字化转型</w:t>
      </w:r>
      <w:r>
        <w:rPr>
          <w:rFonts w:hint="eastAsia" w:ascii="Times New Roman" w:hAnsi="Times New Roman" w:eastAsia="仿宋_GB2312"/>
          <w:sz w:val="32"/>
          <w:szCs w:val="32"/>
          <w:lang w:bidi="ar"/>
        </w:rPr>
        <w:t>填报说明</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是否进行数字化转型就是企业生产经营活动中是否使用了数字技术（新一代信息通信技术），选项里面列出来的是常见的数字技术，具体的数字技术内容可以参照五经普《数字经济主要产品和服务目录》中“三、应用技术类”，如果企业生产经营活动中利用了上述数字技术，即可以认为进行了数字化转型。相关内容可在首页的“第五次全国经济普查方案（第三册</w:t>
      </w:r>
      <w:r>
        <w:rPr>
          <w:rFonts w:ascii="Times New Roman" w:hAnsi="Times New Roman" w:eastAsia="仿宋_GB2312"/>
          <w:sz w:val="32"/>
          <w:szCs w:val="32"/>
          <w:lang w:eastAsia="zh" w:bidi="ar"/>
        </w:rPr>
        <w:t xml:space="preserve"> </w:t>
      </w:r>
      <w:r>
        <w:rPr>
          <w:rFonts w:hint="eastAsia" w:ascii="Times New Roman" w:hAnsi="Times New Roman" w:eastAsia="仿宋_GB2312"/>
          <w:sz w:val="32"/>
          <w:szCs w:val="32"/>
          <w:lang w:eastAsia="zh" w:bidi="ar"/>
        </w:rPr>
        <w:t>统计分类标准和填报目录）”180页找到。</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实际统计中，只要涉及数字化转型模式应用的收入，即可以计算为302项中通过数字化转型的有关收入。</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eastAsia="zh" w:bidi="ar"/>
        </w:rPr>
        <w:t>4.产业活动单位</w:t>
      </w:r>
      <w:r>
        <w:rPr>
          <w:rFonts w:hint="eastAsia" w:ascii="Times New Roman" w:hAnsi="Times New Roman" w:eastAsia="仿宋_GB2312"/>
          <w:sz w:val="32"/>
          <w:szCs w:val="32"/>
          <w:lang w:bidi="ar"/>
        </w:rPr>
        <w:t>填报说明</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对于证券、基金、期货公司，产业活动单位数应为公司本部（如有）+分支机构数量+营业部数量。</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eastAsia="zh" w:bidi="ar"/>
        </w:rPr>
        <w:t>5.从业人员</w:t>
      </w:r>
      <w:r>
        <w:rPr>
          <w:rFonts w:hint="eastAsia" w:ascii="Times New Roman" w:hAnsi="Times New Roman" w:eastAsia="仿宋_GB2312"/>
          <w:sz w:val="32"/>
          <w:szCs w:val="32"/>
          <w:lang w:bidi="ar"/>
        </w:rPr>
        <w:t>填报说明</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具体统计范围如下：</w:t>
      </w:r>
      <w:r>
        <w:rPr>
          <w:rFonts w:ascii="Times New Roman" w:hAnsi="Times New Roman" w:eastAsia="仿宋_GB2312"/>
          <w:sz w:val="32"/>
          <w:szCs w:val="32"/>
          <w:lang w:eastAsia="zh" w:bidi="ar"/>
        </w:rPr>
        <w:t>从业人员期末人数指年度最后一日</w:t>
      </w:r>
      <w:r>
        <w:rPr>
          <w:rFonts w:hint="eastAsia" w:ascii="Times New Roman" w:hAnsi="Times New Roman" w:eastAsia="仿宋_GB2312"/>
          <w:sz w:val="32"/>
          <w:szCs w:val="32"/>
          <w:lang w:eastAsia="zh" w:bidi="ar"/>
        </w:rPr>
        <w:t>（2023年12月31日）</w:t>
      </w:r>
      <w:r>
        <w:rPr>
          <w:rFonts w:ascii="Times New Roman" w:hAnsi="Times New Roman" w:eastAsia="仿宋_GB2312"/>
          <w:sz w:val="32"/>
          <w:szCs w:val="32"/>
          <w:lang w:eastAsia="zh" w:bidi="ar"/>
        </w:rPr>
        <w:t>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r>
        <w:rPr>
          <w:rFonts w:hint="eastAsia" w:ascii="Times New Roman" w:hAnsi="Times New Roman" w:eastAsia="仿宋_GB2312"/>
          <w:sz w:val="32"/>
          <w:szCs w:val="32"/>
          <w:lang w:bidi="ar"/>
        </w:rPr>
        <w:t>借调人员纳入原派出单位统计。</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对于</w:t>
      </w:r>
      <w:r>
        <w:rPr>
          <w:rFonts w:ascii="Times New Roman" w:hAnsi="Times New Roman" w:eastAsia="仿宋_GB2312"/>
          <w:sz w:val="32"/>
          <w:szCs w:val="32"/>
          <w:lang w:eastAsia="zh" w:bidi="ar"/>
        </w:rPr>
        <w:t>其他从业人员</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对于</w:t>
      </w:r>
      <w:r>
        <w:rPr>
          <w:rFonts w:ascii="Times New Roman" w:hAnsi="Times New Roman" w:eastAsia="仿宋_GB2312"/>
          <w:sz w:val="32"/>
          <w:szCs w:val="32"/>
          <w:lang w:eastAsia="zh" w:bidi="ar"/>
        </w:rPr>
        <w:t>劳务外包人员</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由承包劳务的法人单位统计为在岗职工，实际用工单位不进行统计</w:t>
      </w:r>
    </w:p>
    <w:p>
      <w:pPr>
        <w:spacing w:line="560" w:lineRule="exact"/>
        <w:ind w:firstLine="640" w:firstLineChars="200"/>
        <w:rPr>
          <w:rFonts w:ascii="Times New Roman" w:hAnsi="Times New Roman" w:eastAsia="楷体"/>
          <w:sz w:val="32"/>
          <w:szCs w:val="32"/>
          <w:lang w:bidi="ar"/>
        </w:rPr>
      </w:pPr>
      <w:r>
        <w:rPr>
          <w:rFonts w:hint="eastAsia" w:ascii="Times New Roman" w:hAnsi="Times New Roman" w:eastAsia="楷体"/>
          <w:sz w:val="32"/>
          <w:szCs w:val="32"/>
          <w:lang w:bidi="ar"/>
        </w:rPr>
        <w:t>（二）关于财务数据填写</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1.基本原则</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普查中</w:t>
      </w:r>
      <w:r>
        <w:rPr>
          <w:rFonts w:ascii="Times New Roman" w:hAnsi="Times New Roman" w:eastAsia="仿宋_GB2312"/>
          <w:sz w:val="32"/>
          <w:szCs w:val="32"/>
          <w:lang w:eastAsia="zh" w:bidi="ar"/>
        </w:rPr>
        <w:t>所涉及的财务指标的含义及核算方法应符合</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企业会计准则</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或《小企业会计准则》的规定（指标解释中另有说明的除外）。执行</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企业会计准则</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或《小企业会计准则》的企业应按照指标解释根据会计报表、会计科目直接填报。执行</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企业会计制度</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的企业，个别指标与</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企业会计准则</w:t>
      </w:r>
      <w:r>
        <w:rPr>
          <w:rFonts w:hint="eastAsia" w:ascii="Times New Roman" w:hAnsi="Times New Roman" w:eastAsia="仿宋_GB2312"/>
          <w:sz w:val="32"/>
          <w:szCs w:val="32"/>
          <w:lang w:eastAsia="zh" w:bidi="ar"/>
        </w:rPr>
        <w:t>》</w:t>
      </w:r>
      <w:r>
        <w:rPr>
          <w:rFonts w:ascii="Times New Roman" w:hAnsi="Times New Roman" w:eastAsia="仿宋_GB2312"/>
          <w:sz w:val="32"/>
          <w:szCs w:val="32"/>
          <w:lang w:eastAsia="zh" w:bidi="ar"/>
        </w:rPr>
        <w:t>或《小企业会计准则》不符的，应按照指标解释作出调整后填报。</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对于个别指标颗粒度与会计准则不同的，应按指标标准填写。例如，企业投入结构表中的水费、电费、汽车费、交通费、燃料费应尽量分别统计。</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对</w:t>
      </w:r>
      <w:r>
        <w:rPr>
          <w:rFonts w:ascii="Times New Roman" w:hAnsi="Times New Roman" w:eastAsia="仿宋_GB2312"/>
          <w:sz w:val="32"/>
          <w:szCs w:val="32"/>
          <w:lang w:eastAsia="zh" w:bidi="ar"/>
        </w:rPr>
        <w:t>其他应收款、预付账款、其他流动资产</w:t>
      </w:r>
      <w:r>
        <w:rPr>
          <w:rFonts w:hint="eastAsia" w:ascii="Times New Roman" w:hAnsi="Times New Roman" w:eastAsia="仿宋_GB2312"/>
          <w:sz w:val="32"/>
          <w:szCs w:val="32"/>
          <w:lang w:eastAsia="zh" w:bidi="ar"/>
        </w:rPr>
        <w:t>等</w:t>
      </w:r>
      <w:r>
        <w:rPr>
          <w:rFonts w:ascii="Times New Roman" w:hAnsi="Times New Roman" w:eastAsia="仿宋_GB2312"/>
          <w:sz w:val="32"/>
          <w:szCs w:val="32"/>
          <w:lang w:eastAsia="zh" w:bidi="ar"/>
        </w:rPr>
        <w:t>无法归入报表所列资产项目的科目可放在其他资产</w:t>
      </w:r>
      <w:r>
        <w:rPr>
          <w:rFonts w:hint="eastAsia" w:ascii="Times New Roman" w:hAnsi="Times New Roman" w:eastAsia="仿宋_GB2312"/>
          <w:sz w:val="32"/>
          <w:szCs w:val="32"/>
          <w:lang w:eastAsia="zh" w:bidi="ar"/>
        </w:rPr>
        <w:t>中填报，</w:t>
      </w:r>
      <w:r>
        <w:rPr>
          <w:rFonts w:ascii="Times New Roman" w:hAnsi="Times New Roman" w:eastAsia="仿宋_GB2312"/>
          <w:sz w:val="32"/>
          <w:szCs w:val="32"/>
          <w:lang w:eastAsia="zh" w:bidi="ar"/>
        </w:rPr>
        <w:t>其他应付款</w:t>
      </w:r>
      <w:r>
        <w:rPr>
          <w:rFonts w:hint="eastAsia" w:ascii="Times New Roman" w:hAnsi="Times New Roman" w:eastAsia="仿宋_GB2312"/>
          <w:sz w:val="32"/>
          <w:szCs w:val="32"/>
          <w:lang w:eastAsia="zh" w:bidi="ar"/>
        </w:rPr>
        <w:t>等无法归入报表所列负债项目的科目可放在其他负债中。</w:t>
      </w:r>
    </w:p>
    <w:p>
      <w:pPr>
        <w:spacing w:line="560" w:lineRule="exact"/>
        <w:ind w:firstLine="640" w:firstLineChars="200"/>
        <w:rPr>
          <w:rFonts w:ascii="Times New Roman" w:hAnsi="Times New Roman" w:eastAsia="宋体"/>
          <w:sz w:val="32"/>
          <w:szCs w:val="32"/>
          <w:lang w:eastAsia="zh" w:bidi="ar"/>
        </w:rPr>
      </w:pPr>
      <w:r>
        <w:rPr>
          <w:rFonts w:hint="eastAsia" w:ascii="Times New Roman" w:hAnsi="Times New Roman" w:eastAsia="仿宋_GB2312"/>
          <w:sz w:val="32"/>
          <w:szCs w:val="32"/>
          <w:lang w:eastAsia="zh" w:bidi="ar"/>
        </w:rPr>
        <w:t>企业的资产负债表、利润和费用表与投资结构表时之间没有严格的验证关系，请根据不同表格的具体指标说明进行填写（资产负债表、利润和费用表的指标解释见普查方案第一册第六部分，投资结构表的指标解释见普查方案第三册第四部分）。</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对于确没有指标解释的科目，请</w:t>
      </w:r>
      <w:r>
        <w:rPr>
          <w:rFonts w:hint="eastAsia" w:ascii="Times New Roman" w:hAnsi="Times New Roman" w:eastAsia="仿宋_GB2312"/>
          <w:sz w:val="32"/>
          <w:szCs w:val="32"/>
          <w:lang w:bidi="ar"/>
        </w:rPr>
        <w:t>普查对象</w:t>
      </w:r>
      <w:r>
        <w:rPr>
          <w:rFonts w:hint="eastAsia" w:ascii="Times New Roman" w:hAnsi="Times New Roman" w:eastAsia="仿宋_GB2312"/>
          <w:sz w:val="32"/>
          <w:szCs w:val="32"/>
          <w:lang w:eastAsia="zh" w:bidi="ar"/>
        </w:rPr>
        <w:t>结合</w:t>
      </w:r>
      <w:r>
        <w:rPr>
          <w:rFonts w:ascii="Times New Roman" w:hAnsi="Times New Roman" w:eastAsia="仿宋_GB2312"/>
          <w:sz w:val="32"/>
          <w:szCs w:val="32"/>
          <w:lang w:eastAsia="zh" w:bidi="ar"/>
        </w:rPr>
        <w:t>会计准则</w:t>
      </w:r>
      <w:r>
        <w:rPr>
          <w:rFonts w:hint="eastAsia" w:ascii="Times New Roman" w:hAnsi="Times New Roman" w:eastAsia="仿宋_GB2312"/>
          <w:sz w:val="32"/>
          <w:szCs w:val="32"/>
          <w:lang w:eastAsia="zh" w:bidi="ar"/>
        </w:rPr>
        <w:t>和核算的通行做法进行填写，并将上述情况上报给</w:t>
      </w:r>
      <w:r>
        <w:rPr>
          <w:rFonts w:hint="eastAsia" w:ascii="Times New Roman" w:hAnsi="Times New Roman" w:eastAsia="仿宋_GB2312"/>
          <w:sz w:val="32"/>
          <w:szCs w:val="32"/>
          <w:lang w:bidi="ar"/>
        </w:rPr>
        <w:t>监管的派出机构</w:t>
      </w:r>
      <w:r>
        <w:rPr>
          <w:rFonts w:hint="eastAsia" w:ascii="Times New Roman" w:hAnsi="Times New Roman" w:eastAsia="仿宋_GB2312"/>
          <w:sz w:val="32"/>
          <w:szCs w:val="32"/>
          <w:lang w:eastAsia="zh" w:bidi="ar"/>
        </w:rPr>
        <w:t>予以备案。</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2.应交增值税具体填报口径</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填报本项时，应按权责发生制核算企业本期应负担的增值税。具体根据本期会计科目“销项税额”“进项税额转出”“出口退税”“简易计税”年初至期末贷方累计发生额，“进项税额”“出口抵减内销产品应纳税额”“减免税款”年初至期末借方累计发生额，取值后按照下述公式计算填报：</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应交增值税（本年累计发生额）＝销项税额－（进项税额－进项税额转出）－出口抵减内销产品应纳税额－减免税款＋出口退税＋简易计税</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计算方法说明及填报要求：</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（1）计算公式均体现权责发生制，本期发生的进项税额全部参与计算，相当于不设置留抵，同时也不抵扣会计账簿或增值税纳税申报表中上年年末留抵的进项税额，公式计算结果可以为负数。</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（2）按照公式计算本项后，不应再加增值税减免税额，因为这部分价值不再形成企业缴纳义务。</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3.应付职工薪酬具体填报口径</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对于资产负债表中的第五项“应付职工薪酬（本年贷方累计发生额）”，请根据普查方案第一册第六部分中的指标说明予以填写。</w:t>
      </w:r>
    </w:p>
    <w:p>
      <w:pPr>
        <w:spacing w:line="560" w:lineRule="exact"/>
        <w:ind w:firstLine="640" w:firstLineChars="200"/>
        <w:rPr>
          <w:rFonts w:ascii="Times New Roman" w:hAnsi="Times New Roman" w:eastAsia="仿宋_GB2312"/>
          <w:sz w:val="32"/>
          <w:szCs w:val="32"/>
          <w:shd w:val="pct10" w:color="auto" w:fill="FFFFFF"/>
          <w:lang w:bidi="ar"/>
        </w:rPr>
      </w:pPr>
      <w:r>
        <w:rPr>
          <w:rFonts w:hint="eastAsia" w:ascii="Times New Roman" w:hAnsi="Times New Roman" w:eastAsia="仿宋_GB2312"/>
          <w:sz w:val="32"/>
          <w:szCs w:val="32"/>
          <w:lang w:eastAsia="zh" w:bidi="ar"/>
        </w:rPr>
        <w:t>对于普查对象于会计核算时确认的应付职工薪酬，普查时纳入负债-其他应付款中进行填写。</w:t>
      </w:r>
    </w:p>
    <w:p>
      <w:pPr>
        <w:spacing w:line="560" w:lineRule="exact"/>
        <w:ind w:firstLine="640" w:firstLineChars="200"/>
        <w:rPr>
          <w:rFonts w:ascii="Times New Roman" w:hAnsi="Times New Roman" w:eastAsia="楷体"/>
          <w:sz w:val="32"/>
          <w:szCs w:val="32"/>
          <w:lang w:bidi="ar"/>
        </w:rPr>
      </w:pPr>
      <w:r>
        <w:rPr>
          <w:rFonts w:hint="eastAsia" w:ascii="Times New Roman" w:hAnsi="Times New Roman" w:eastAsia="楷体"/>
          <w:sz w:val="32"/>
          <w:szCs w:val="32"/>
          <w:lang w:bidi="ar"/>
        </w:rPr>
        <w:t>（三）关于证券业填报</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1.《证券业企业投入结构》表里的运营费用、物业及设备费用、其他营业费用，包含利润表里的营业成本吗？还是只需要从利润表里的费用科目取数？</w:t>
      </w:r>
    </w:p>
    <w:p>
      <w:pPr>
        <w:spacing w:line="560" w:lineRule="exact"/>
        <w:ind w:firstLine="640" w:firstLineChars="200"/>
        <w:rPr>
          <w:rFonts w:ascii="Times New Roman" w:hAnsi="Times New Roman" w:eastAsia="仿宋_GB2312"/>
          <w:sz w:val="32"/>
          <w:szCs w:val="32"/>
          <w:lang w:eastAsia="zh" w:bidi="ar"/>
        </w:rPr>
      </w:pPr>
      <w:r>
        <w:rPr>
          <w:rFonts w:ascii="Times New Roman" w:hAnsi="Times New Roman" w:eastAsia="仿宋_GB2312"/>
          <w:sz w:val="32"/>
          <w:szCs w:val="32"/>
          <w:lang w:eastAsia="zh" w:bidi="ar"/>
        </w:rPr>
        <w:t>会计利润表里有的科目，可以直接填进去，没有的需要拆分处理。运营费用、其他营业费用等，</w:t>
      </w:r>
      <w:r>
        <w:rPr>
          <w:rFonts w:hint="eastAsia" w:ascii="Times New Roman" w:hAnsi="Times New Roman" w:eastAsia="仿宋_GB2312"/>
          <w:sz w:val="32"/>
          <w:szCs w:val="32"/>
          <w:lang w:bidi="ar"/>
        </w:rPr>
        <w:t>可能会涉及</w:t>
      </w:r>
      <w:r>
        <w:rPr>
          <w:rFonts w:ascii="Times New Roman" w:hAnsi="Times New Roman" w:eastAsia="仿宋_GB2312"/>
          <w:sz w:val="32"/>
          <w:szCs w:val="32"/>
          <w:lang w:eastAsia="zh" w:bidi="ar"/>
        </w:rPr>
        <w:t>营业成本和管理费用科目，如果能分出来就分出来，实在没法分找一个最接近的，</w:t>
      </w:r>
      <w:r>
        <w:rPr>
          <w:rFonts w:hint="eastAsia" w:ascii="Times New Roman" w:hAnsi="Times New Roman" w:eastAsia="仿宋_GB2312"/>
          <w:sz w:val="32"/>
          <w:szCs w:val="32"/>
          <w:lang w:bidi="ar"/>
        </w:rPr>
        <w:t>但一定要</w:t>
      </w:r>
      <w:r>
        <w:rPr>
          <w:rFonts w:ascii="Times New Roman" w:hAnsi="Times New Roman" w:eastAsia="仿宋_GB2312"/>
          <w:sz w:val="32"/>
          <w:szCs w:val="32"/>
          <w:lang w:eastAsia="zh" w:bidi="ar"/>
        </w:rPr>
        <w:t>做到不重不漏。</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2.表615-2、615-3、615-5、615-9中仅有无形资产原值项，没有摊销项。</w:t>
      </w:r>
    </w:p>
    <w:p>
      <w:pPr>
        <w:spacing w:line="560" w:lineRule="exact"/>
        <w:ind w:firstLine="640" w:firstLineChars="200"/>
        <w:rPr>
          <w:rFonts w:ascii="Times New Roman" w:hAnsi="Times New Roman" w:eastAsia="仿宋_GB2312"/>
          <w:sz w:val="32"/>
          <w:szCs w:val="32"/>
          <w:lang w:eastAsia="zh" w:bidi="ar"/>
        </w:rPr>
      </w:pPr>
      <w:r>
        <w:rPr>
          <w:rFonts w:ascii="Times New Roman" w:hAnsi="Times New Roman" w:eastAsia="仿宋_GB2312"/>
          <w:sz w:val="32"/>
          <w:szCs w:val="32"/>
          <w:lang w:eastAsia="zh" w:bidi="ar"/>
        </w:rPr>
        <w:t>无形资产按照净值填报。</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3.利润和费用明细表中的“业务及管理费”如何填写。</w:t>
      </w:r>
    </w:p>
    <w:p>
      <w:pPr>
        <w:spacing w:line="560" w:lineRule="exact"/>
        <w:ind w:firstLine="640" w:firstLineChars="200"/>
        <w:rPr>
          <w:rFonts w:ascii="Times New Roman" w:hAnsi="Times New Roman" w:eastAsia="仿宋_GB2312"/>
          <w:sz w:val="32"/>
          <w:szCs w:val="32"/>
          <w:lang w:eastAsia="zh" w:bidi="ar"/>
        </w:rPr>
      </w:pPr>
      <w:r>
        <w:rPr>
          <w:rFonts w:ascii="Times New Roman" w:hAnsi="Times New Roman" w:eastAsia="仿宋_GB2312"/>
          <w:sz w:val="32"/>
          <w:szCs w:val="32"/>
          <w:lang w:eastAsia="zh" w:bidi="ar"/>
        </w:rPr>
        <w:t>执行《金融业企业财务报表格式》的企业，根据会计“利润表”中“业务及管理费”项目的本年累计数填报。</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4.证券公司私募子是填报证券业的报表还是私募基金的报表。</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填证券业，详见填报系统推送表格。</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5.《证券业利润和费用明细表》中第二项费用明细中“折旧费”是否含使用权资产的折旧费？</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包含在内。</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6.资产负债表里面的“软件使用权”是什么，跟无形资产的软件有何区别。</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软件使用权指行政事业单位无形资产项下核算的软件及软件使用权净值。</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7.《企业投入结构》存在两个“交通费”，口径有何不同。</w:t>
      </w:r>
    </w:p>
    <w:p>
      <w:pPr>
        <w:spacing w:line="56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差旅费</w:t>
      </w:r>
      <w:r>
        <w:rPr>
          <w:rFonts w:hint="eastAsia" w:ascii="Times New Roman" w:hAnsi="Times New Roman" w:eastAsia="仿宋_GB2312"/>
          <w:sz w:val="32"/>
          <w:szCs w:val="32"/>
          <w:lang w:bidi="ar"/>
        </w:rPr>
        <w:t>：指企业（单位）工作人员国（境）内出差发生的城市间交通费、住宿费、伙食补助费和市内交通费。主要指外地出差产生的费用。</w:t>
      </w:r>
    </w:p>
    <w:p>
      <w:pPr>
        <w:spacing w:line="56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交通费</w:t>
      </w:r>
      <w:r>
        <w:rPr>
          <w:rFonts w:hint="eastAsia" w:ascii="Times New Roman" w:hAnsi="Times New Roman" w:eastAsia="仿宋_GB2312"/>
          <w:sz w:val="32"/>
          <w:szCs w:val="32"/>
          <w:lang w:bidi="ar"/>
        </w:rPr>
        <w:t>：指企业（单位）发给员工的交通补助，以及外出办公乘坐公共交通发生的费用。主要指本地日常工作产生的费用。</w:t>
      </w:r>
    </w:p>
    <w:p>
      <w:pPr>
        <w:spacing w:line="560" w:lineRule="exact"/>
        <w:ind w:firstLine="640" w:firstLineChars="200"/>
        <w:rPr>
          <w:rFonts w:ascii="Times New Roman" w:hAnsi="Times New Roman" w:eastAsia="楷体"/>
          <w:sz w:val="32"/>
          <w:szCs w:val="32"/>
          <w:lang w:bidi="ar"/>
        </w:rPr>
      </w:pPr>
      <w:r>
        <w:rPr>
          <w:rFonts w:hint="eastAsia" w:ascii="Times New Roman" w:hAnsi="Times New Roman" w:eastAsia="楷体"/>
          <w:sz w:val="32"/>
          <w:szCs w:val="32"/>
          <w:lang w:bidi="ar"/>
        </w:rPr>
        <w:t>（四）关于基金业填报</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1. 《基金业利润表》中，“九</w:t>
      </w:r>
      <w:r>
        <w:rPr>
          <w:rFonts w:ascii="Times New Roman" w:hAnsi="Times New Roman" w:eastAsia="仿宋_GB2312"/>
          <w:sz w:val="32"/>
          <w:szCs w:val="32"/>
          <w:lang w:eastAsia="zh" w:bidi="ar"/>
        </w:rPr>
        <w:t xml:space="preserve"> </w:t>
      </w:r>
      <w:r>
        <w:rPr>
          <w:rFonts w:hint="eastAsia" w:ascii="Times New Roman" w:hAnsi="Times New Roman" w:eastAsia="仿宋_GB2312"/>
          <w:sz w:val="32"/>
          <w:szCs w:val="32"/>
          <w:lang w:eastAsia="zh" w:bidi="ar"/>
        </w:rPr>
        <w:t>应交增值税”填写口径是否包含资管产品2023年所属期应交增值税?</w:t>
      </w:r>
      <w:r>
        <w:rPr>
          <w:rFonts w:ascii="Times New Roman" w:hAnsi="Times New Roman" w:eastAsia="仿宋_GB2312"/>
          <w:sz w:val="32"/>
          <w:szCs w:val="32"/>
          <w:lang w:eastAsia="zh" w:bidi="ar"/>
        </w:rPr>
        <w:t xml:space="preserve"> </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不包含</w:t>
      </w:r>
      <w:r>
        <w:rPr>
          <w:rFonts w:ascii="Times New Roman" w:hAnsi="Times New Roman" w:eastAsia="仿宋_GB2312"/>
          <w:sz w:val="32"/>
          <w:szCs w:val="32"/>
          <w:lang w:eastAsia="zh" w:bidi="ar"/>
        </w:rPr>
        <w:t>。</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2.《基金业利润表》内没有“营业成本”这个科目，是否应将营业成本中人员相关成本列入“业务及管理费”，其他的均放入“其他业务成本”。上述理解是否正确？</w:t>
      </w:r>
    </w:p>
    <w:p>
      <w:pPr>
        <w:spacing w:line="560" w:lineRule="exact"/>
        <w:ind w:firstLine="640" w:firstLineChars="200"/>
        <w:rPr>
          <w:rFonts w:hint="eastAsia" w:ascii="Times New Roman" w:hAnsi="Times New Roman" w:eastAsia="仿宋_GB2312"/>
          <w:color w:val="FF0000"/>
          <w:sz w:val="32"/>
          <w:szCs w:val="32"/>
          <w:highlight w:val="yellow"/>
          <w:lang w:eastAsia="zh-CN" w:bidi="ar"/>
        </w:rPr>
      </w:pPr>
      <w:r>
        <w:rPr>
          <w:rFonts w:hint="eastAsia" w:ascii="Times New Roman" w:hAnsi="Times New Roman" w:eastAsia="仿宋_GB2312"/>
          <w:color w:val="auto"/>
          <w:sz w:val="32"/>
          <w:szCs w:val="32"/>
          <w:highlight w:val="none"/>
          <w:lang w:eastAsia="zh-CN" w:bidi="ar"/>
        </w:rPr>
        <w:t>可以</w:t>
      </w:r>
    </w:p>
    <w:p>
      <w:pPr>
        <w:spacing w:line="560" w:lineRule="exact"/>
        <w:ind w:firstLine="640" w:firstLineChars="200"/>
        <w:rPr>
          <w:rFonts w:ascii="Times New Roman" w:hAnsi="Times New Roman" w:eastAsia="楷体"/>
          <w:sz w:val="32"/>
          <w:szCs w:val="32"/>
          <w:lang w:bidi="ar"/>
        </w:rPr>
      </w:pPr>
      <w:r>
        <w:rPr>
          <w:rFonts w:hint="eastAsia" w:ascii="Times New Roman" w:hAnsi="Times New Roman" w:eastAsia="楷体"/>
          <w:sz w:val="32"/>
          <w:szCs w:val="32"/>
          <w:lang w:bidi="ar"/>
        </w:rPr>
        <w:t>（五）其他普查对象相关问题</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1.独立基金销售机构在填报《基金业利润表》中的“业务及管理费”和《基金业业务及管理费费用明细》的一</w:t>
      </w:r>
      <w:r>
        <w:rPr>
          <w:rFonts w:hint="eastAsia" w:ascii="Times New Roman" w:hAnsi="Times New Roman" w:eastAsia="仿宋_GB2312"/>
          <w:sz w:val="32"/>
          <w:szCs w:val="32"/>
          <w:lang w:bidi="ar"/>
        </w:rPr>
        <w:t>至</w:t>
      </w:r>
      <w:r>
        <w:rPr>
          <w:rFonts w:hint="eastAsia" w:ascii="Times New Roman" w:hAnsi="Times New Roman" w:eastAsia="仿宋_GB2312"/>
          <w:sz w:val="32"/>
          <w:szCs w:val="32"/>
          <w:lang w:eastAsia="zh" w:bidi="ar"/>
        </w:rPr>
        <w:t>八项总和需要对应上，即《基金业业务及管理费费用明细》的科目均为</w:t>
      </w:r>
      <w:r>
        <w:rPr>
          <w:rFonts w:hint="eastAsia" w:ascii="Times New Roman" w:hAnsi="Times New Roman" w:eastAsia="仿宋_GB2312"/>
          <w:sz w:val="32"/>
          <w:szCs w:val="32"/>
          <w:lang w:bidi="ar"/>
        </w:rPr>
        <w:t>会计准则</w:t>
      </w:r>
      <w:r>
        <w:rPr>
          <w:rFonts w:hint="eastAsia" w:ascii="Times New Roman" w:hAnsi="Times New Roman" w:eastAsia="仿宋_GB2312"/>
          <w:sz w:val="32"/>
          <w:szCs w:val="32"/>
          <w:lang w:eastAsia="zh" w:bidi="ar"/>
        </w:rPr>
        <w:t>口径，而非实发口径。上述理解是否正确？</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填写时均为</w:t>
      </w:r>
      <w:r>
        <w:rPr>
          <w:rFonts w:hint="eastAsia" w:ascii="Times New Roman" w:hAnsi="Times New Roman" w:eastAsia="仿宋_GB2312"/>
          <w:sz w:val="32"/>
          <w:szCs w:val="32"/>
          <w:lang w:bidi="ar"/>
        </w:rPr>
        <w:t>会计准则</w:t>
      </w:r>
      <w:r>
        <w:rPr>
          <w:rFonts w:hint="eastAsia" w:ascii="Times New Roman" w:hAnsi="Times New Roman" w:eastAsia="仿宋_GB2312"/>
          <w:sz w:val="32"/>
          <w:szCs w:val="32"/>
          <w:lang w:eastAsia="zh" w:bidi="ar"/>
        </w:rPr>
        <w:t>口径。</w:t>
      </w:r>
    </w:p>
    <w:p>
      <w:pPr>
        <w:spacing w:line="560" w:lineRule="exact"/>
        <w:ind w:firstLine="640" w:firstLineChars="200"/>
        <w:rPr>
          <w:rFonts w:ascii="Times New Roman" w:hAnsi="Times New Roman" w:eastAsia="仿宋_GB2312"/>
          <w:color w:val="auto"/>
          <w:sz w:val="32"/>
          <w:szCs w:val="32"/>
          <w:highlight w:val="none"/>
          <w:lang w:eastAsia="zh" w:bidi="ar"/>
        </w:rPr>
      </w:pPr>
      <w:r>
        <w:rPr>
          <w:rFonts w:hint="eastAsia" w:ascii="Times New Roman" w:hAnsi="Times New Roman" w:eastAsia="仿宋_GB2312"/>
          <w:color w:val="auto"/>
          <w:sz w:val="32"/>
          <w:szCs w:val="32"/>
          <w:highlight w:val="none"/>
          <w:lang w:eastAsia="zh" w:bidi="ar"/>
        </w:rPr>
        <w:t>2.《基金业利润表》中独立基金销售机构是否将客户维护费（尾随佣金）填列于管理费收入一栏？</w:t>
      </w:r>
    </w:p>
    <w:p>
      <w:pPr>
        <w:spacing w:line="560" w:lineRule="exact"/>
        <w:ind w:firstLine="640" w:firstLineChars="200"/>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可以</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3.《企业投入结构》“摊销费用”和下面的“无形资产摊销”及“长期待摊费用摊销”是否存在关系。</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摊销费用属于物业及设备费用科目，“无形资产摊销”及“长期待摊费用摊销”属于其他营业费用。表中已有详细说明。</w:t>
      </w:r>
    </w:p>
    <w:p>
      <w:pPr>
        <w:spacing w:line="560" w:lineRule="exact"/>
        <w:ind w:firstLine="640" w:firstLineChars="200"/>
        <w:rPr>
          <w:rFonts w:ascii="Times New Roman" w:hAnsi="Times New Roman" w:eastAsia="黑体"/>
          <w:sz w:val="32"/>
          <w:szCs w:val="32"/>
          <w:lang w:bidi="ar"/>
        </w:rPr>
      </w:pPr>
      <w:r>
        <w:rPr>
          <w:rFonts w:hint="eastAsia" w:ascii="Times New Roman" w:hAnsi="Times New Roman" w:eastAsia="黑体"/>
          <w:sz w:val="32"/>
          <w:szCs w:val="32"/>
          <w:lang w:bidi="ar"/>
        </w:rPr>
        <w:t>三</w:t>
      </w:r>
      <w:r>
        <w:rPr>
          <w:rFonts w:ascii="Times New Roman" w:hAnsi="Times New Roman" w:eastAsia="黑体"/>
          <w:sz w:val="32"/>
          <w:szCs w:val="32"/>
          <w:lang w:bidi="ar"/>
        </w:rPr>
        <w:t>、</w:t>
      </w:r>
      <w:r>
        <w:rPr>
          <w:rFonts w:hint="eastAsia" w:ascii="Times New Roman" w:hAnsi="Times New Roman" w:eastAsia="黑体"/>
          <w:sz w:val="32"/>
          <w:szCs w:val="32"/>
          <w:lang w:bidi="ar"/>
        </w:rPr>
        <w:t>其他问题</w:t>
      </w:r>
    </w:p>
    <w:p>
      <w:pPr>
        <w:snapToGrid w:val="0"/>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1.我司年度报告中披露的研发费用有部分是落在人力成本中的，《企业投入结构》中“研发费用”是否需要扣除上面落在人力成本中的研发费用。</w:t>
      </w:r>
    </w:p>
    <w:p>
      <w:pPr>
        <w:snapToGrid w:val="0"/>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根据实际情况按会计准则决定如何填写人力成本和研发费用。</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2.《企业投入结构》中第一项“运营费用”下“其他运营费用”具体是指什么；第四项“其他营业费用”中的“其他”又是什么。</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eastAsia="zh" w:bidi="ar"/>
        </w:rPr>
        <w:t>第一项“运营费用”下“其他运营费用”</w:t>
      </w:r>
      <w:r>
        <w:rPr>
          <w:rFonts w:hint="eastAsia" w:ascii="Times New Roman" w:hAnsi="Times New Roman" w:eastAsia="仿宋_GB2312"/>
          <w:sz w:val="32"/>
          <w:szCs w:val="32"/>
          <w:lang w:bidi="ar"/>
        </w:rPr>
        <w:t>指无法归入第一项中所列项目的费用；</w:t>
      </w:r>
      <w:r>
        <w:rPr>
          <w:rFonts w:hint="eastAsia" w:ascii="Times New Roman" w:hAnsi="Times New Roman" w:eastAsia="仿宋_GB2312"/>
          <w:sz w:val="32"/>
          <w:szCs w:val="32"/>
          <w:lang w:eastAsia="zh" w:bidi="ar"/>
        </w:rPr>
        <w:t>第四项“其他营业费用”中的“其他”</w:t>
      </w:r>
      <w:r>
        <w:rPr>
          <w:rFonts w:hint="eastAsia" w:ascii="Times New Roman" w:hAnsi="Times New Roman" w:eastAsia="仿宋_GB2312"/>
          <w:sz w:val="32"/>
          <w:szCs w:val="32"/>
          <w:lang w:bidi="ar"/>
        </w:rPr>
        <w:t>指无法归入</w:t>
      </w:r>
      <w:r>
        <w:rPr>
          <w:rFonts w:hint="eastAsia" w:ascii="Times New Roman" w:hAnsi="Times New Roman" w:eastAsia="仿宋_GB2312"/>
          <w:sz w:val="32"/>
          <w:szCs w:val="32"/>
          <w:lang w:eastAsia="zh" w:bidi="ar"/>
        </w:rPr>
        <w:t>第四项“其他营业费用”</w:t>
      </w:r>
      <w:r>
        <w:rPr>
          <w:rFonts w:hint="eastAsia" w:ascii="Times New Roman" w:hAnsi="Times New Roman" w:eastAsia="仿宋_GB2312"/>
          <w:sz w:val="32"/>
          <w:szCs w:val="32"/>
          <w:lang w:bidi="ar"/>
        </w:rPr>
        <w:t>中所列项目的费用。</w:t>
      </w:r>
    </w:p>
    <w:p>
      <w:pPr>
        <w:spacing w:line="560" w:lineRule="exact"/>
        <w:ind w:firstLine="640" w:firstLineChars="200"/>
        <w:rPr>
          <w:rFonts w:ascii="Times New Roman" w:hAnsi="Times New Roman" w:eastAsia="仿宋_GB2312"/>
          <w:color w:val="auto"/>
          <w:sz w:val="32"/>
          <w:szCs w:val="32"/>
          <w:highlight w:val="none"/>
          <w:lang w:eastAsia="zh" w:bidi="ar"/>
        </w:rPr>
      </w:pPr>
      <w:r>
        <w:rPr>
          <w:rFonts w:hint="eastAsia" w:ascii="Times New Roman" w:hAnsi="Times New Roman" w:eastAsia="仿宋_GB2312"/>
          <w:color w:val="auto"/>
          <w:sz w:val="32"/>
          <w:szCs w:val="32"/>
          <w:highlight w:val="none"/>
          <w:lang w:eastAsia="zh" w:bidi="ar"/>
        </w:rPr>
        <w:t>3.派出机构的项目费用应填入哪个科目？</w:t>
      </w:r>
    </w:p>
    <w:p>
      <w:pPr>
        <w:spacing w:line="560" w:lineRule="exact"/>
        <w:ind w:firstLine="640" w:firstLineChars="200"/>
        <w:rPr>
          <w:rFonts w:hint="default"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eastAsia="zh-CN" w:bidi="ar"/>
        </w:rPr>
        <w:t>答：《行政事业单位主要经济指标》（表</w:t>
      </w:r>
      <w:r>
        <w:rPr>
          <w:rFonts w:hint="eastAsia" w:ascii="Times New Roman" w:hAnsi="Times New Roman" w:eastAsia="仿宋_GB2312"/>
          <w:color w:val="auto"/>
          <w:sz w:val="32"/>
          <w:szCs w:val="32"/>
          <w:highlight w:val="none"/>
          <w:lang w:val="en-US" w:eastAsia="zh-CN" w:bidi="ar"/>
        </w:rPr>
        <w:t>615-2）</w:t>
      </w:r>
      <w:r>
        <w:rPr>
          <w:rFonts w:hint="eastAsia" w:ascii="Times New Roman" w:hAnsi="Times New Roman" w:eastAsia="仿宋_GB2312"/>
          <w:color w:val="auto"/>
          <w:sz w:val="32"/>
          <w:szCs w:val="32"/>
          <w:highlight w:val="none"/>
          <w:lang w:eastAsia="zh-CN" w:bidi="ar"/>
        </w:rPr>
        <w:t>经营支出项目。</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4.《金融业调查单位基本情况》中</w:t>
      </w:r>
      <w:r>
        <w:rPr>
          <w:rFonts w:ascii="Times New Roman" w:hAnsi="Times New Roman" w:eastAsia="仿宋_GB2312"/>
          <w:sz w:val="32"/>
          <w:szCs w:val="32"/>
          <w:lang w:eastAsia="zh" w:bidi="ar"/>
        </w:rPr>
        <w:t>205：分公司登记注册类型是“其他有限责任公司分公司”，表内选择“其他有限</w:t>
      </w:r>
      <w:r>
        <w:rPr>
          <w:rFonts w:hint="eastAsia" w:ascii="Times New Roman" w:hAnsi="Times New Roman" w:eastAsia="仿宋_GB2312"/>
          <w:sz w:val="32"/>
          <w:szCs w:val="32"/>
          <w:lang w:eastAsia="zh" w:bidi="ar"/>
        </w:rPr>
        <w:t>责任</w:t>
      </w:r>
      <w:r>
        <w:rPr>
          <w:rFonts w:ascii="Times New Roman" w:hAnsi="Times New Roman" w:eastAsia="仿宋_GB2312"/>
          <w:sz w:val="32"/>
          <w:szCs w:val="32"/>
          <w:lang w:eastAsia="zh" w:bidi="ar"/>
        </w:rPr>
        <w:t>公司”是否可以。</w:t>
      </w:r>
    </w:p>
    <w:p>
      <w:pPr>
        <w:spacing w:line="560" w:lineRule="exact"/>
        <w:ind w:firstLine="640" w:firstLineChars="200"/>
        <w:rPr>
          <w:rFonts w:ascii="Times New Roman" w:hAnsi="Times New Roman" w:eastAsia="仿宋_GB2312"/>
          <w:sz w:val="32"/>
          <w:szCs w:val="32"/>
          <w:lang w:eastAsia="zh" w:bidi="ar"/>
        </w:rPr>
      </w:pPr>
      <w:r>
        <w:rPr>
          <w:rFonts w:ascii="Times New Roman" w:hAnsi="Times New Roman" w:eastAsia="仿宋_GB2312"/>
          <w:sz w:val="32"/>
          <w:szCs w:val="32"/>
          <w:lang w:eastAsia="zh" w:bidi="ar"/>
        </w:rPr>
        <w:t>可以。</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5.《金融业调查单位基本情况》中</w:t>
      </w:r>
      <w:r>
        <w:rPr>
          <w:rFonts w:ascii="Times New Roman" w:hAnsi="Times New Roman" w:eastAsia="仿宋_GB2312"/>
          <w:sz w:val="32"/>
          <w:szCs w:val="32"/>
          <w:lang w:eastAsia="zh" w:bidi="ar"/>
        </w:rPr>
        <w:t>212</w:t>
      </w:r>
      <w:r>
        <w:rPr>
          <w:rFonts w:hint="eastAsia" w:ascii="Times New Roman" w:hAnsi="Times New Roman" w:eastAsia="仿宋_GB2312"/>
          <w:sz w:val="32"/>
          <w:szCs w:val="32"/>
          <w:lang w:eastAsia="zh" w:bidi="ar"/>
        </w:rPr>
        <w:t>：非经营性单位支出指什么？是否需要填所有分支机构的费用？</w:t>
      </w:r>
    </w:p>
    <w:p>
      <w:pPr>
        <w:spacing w:line="560" w:lineRule="exact"/>
        <w:ind w:firstLine="640" w:firstLineChars="200"/>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经营性单位无需填写此项。</w:t>
      </w:r>
      <w:r>
        <w:rPr>
          <w:rFonts w:hint="eastAsia" w:ascii="Times New Roman" w:hAnsi="Times New Roman" w:eastAsia="仿宋_GB2312"/>
          <w:sz w:val="32"/>
          <w:szCs w:val="32"/>
          <w:lang w:bidi="ar"/>
        </w:rPr>
        <w:t>对于</w:t>
      </w:r>
      <w:r>
        <w:rPr>
          <w:rFonts w:hint="eastAsia" w:ascii="Times New Roman" w:hAnsi="Times New Roman" w:eastAsia="仿宋_GB2312"/>
          <w:sz w:val="32"/>
          <w:szCs w:val="32"/>
          <w:lang w:eastAsia="zh" w:bidi="ar"/>
        </w:rPr>
        <w:t>非经营性单位</w:t>
      </w:r>
      <w:r>
        <w:rPr>
          <w:rFonts w:hint="eastAsia" w:ascii="Times New Roman" w:hAnsi="Times New Roman" w:eastAsia="仿宋_GB2312"/>
          <w:sz w:val="32"/>
          <w:szCs w:val="32"/>
          <w:lang w:bidi="ar"/>
        </w:rPr>
        <w:t>，</w:t>
      </w:r>
      <w:r>
        <w:rPr>
          <w:rFonts w:hint="eastAsia" w:ascii="Times New Roman" w:hAnsi="Times New Roman" w:eastAsia="仿宋_GB2312"/>
          <w:sz w:val="32"/>
          <w:szCs w:val="32"/>
          <w:lang w:eastAsia="zh" w:bidi="ar"/>
        </w:rPr>
        <w:t>具有行政事业性质的产业活动单位填报日常业务支出，包括除固定资产购置以外的所有经常性业务支出；其他产业活动单位填报各种费用合计，包括业务活动成本、管理费用、筹资费用和其他费用。</w:t>
      </w:r>
    </w:p>
    <w:p>
      <w:pPr>
        <w:spacing w:line="560" w:lineRule="exact"/>
        <w:ind w:firstLine="640" w:firstLineChars="200"/>
        <w:rPr>
          <w:rFonts w:ascii="Times New Roman" w:hAnsi="Times New Roman" w:eastAsia="仿宋_GB2312"/>
          <w:sz w:val="32"/>
          <w:szCs w:val="32"/>
          <w:lang w:eastAsia="zh" w:bidi="ar"/>
        </w:rPr>
      </w:pPr>
    </w:p>
    <w:p>
      <w:pPr>
        <w:spacing w:line="560" w:lineRule="exact"/>
        <w:ind w:firstLine="640" w:firstLineChars="200"/>
        <w:rPr>
          <w:rFonts w:ascii="Times New Roman" w:hAnsi="Times New Roman" w:eastAsia="仿宋_GB2312"/>
          <w:sz w:val="32"/>
          <w:szCs w:val="32"/>
          <w:lang w:eastAsia="zh" w:bidi="ar"/>
        </w:rPr>
      </w:pPr>
    </w:p>
    <w:p>
      <w:pPr>
        <w:spacing w:line="560" w:lineRule="exact"/>
        <w:ind w:firstLine="640" w:firstLineChars="200"/>
        <w:rPr>
          <w:rFonts w:ascii="Times New Roman" w:hAnsi="Times New Roman" w:eastAsia="仿宋_GB2312"/>
          <w:sz w:val="32"/>
          <w:szCs w:val="32"/>
          <w:lang w:eastAsia="zh" w:bidi="ar"/>
        </w:rPr>
      </w:pPr>
    </w:p>
    <w:p>
      <w:pPr>
        <w:spacing w:line="560" w:lineRule="exact"/>
        <w:ind w:firstLine="640" w:firstLineChars="200"/>
        <w:rPr>
          <w:rFonts w:ascii="Times New Roman" w:hAnsi="Times New Roman" w:eastAsia="仿宋_GB2312"/>
          <w:sz w:val="32"/>
          <w:szCs w:val="32"/>
          <w:lang w:eastAsia="zh" w:bidi="ar"/>
        </w:rPr>
      </w:pPr>
    </w:p>
    <w:p>
      <w:pPr>
        <w:spacing w:line="560" w:lineRule="exact"/>
        <w:ind w:firstLine="640" w:firstLineChars="200"/>
        <w:rPr>
          <w:rFonts w:ascii="Times New Roman" w:hAnsi="Times New Roman" w:eastAsia="仿宋_GB2312"/>
          <w:sz w:val="32"/>
          <w:szCs w:val="32"/>
          <w:lang w:eastAsia="zh" w:bidi="ar"/>
        </w:rPr>
      </w:pPr>
    </w:p>
    <w:p>
      <w:pPr>
        <w:spacing w:line="560" w:lineRule="exact"/>
        <w:ind w:firstLine="640" w:firstLineChars="200"/>
        <w:rPr>
          <w:rFonts w:ascii="Times New Roman" w:hAnsi="Times New Roman" w:eastAsia="仿宋_GB2312"/>
          <w:sz w:val="32"/>
          <w:szCs w:val="32"/>
          <w:lang w:eastAsia="zh" w:bidi="ar"/>
        </w:rPr>
      </w:pPr>
    </w:p>
    <w:p>
      <w:pPr>
        <w:spacing w:line="560" w:lineRule="exact"/>
        <w:ind w:firstLine="640" w:firstLineChars="200"/>
        <w:rPr>
          <w:rFonts w:ascii="Times New Roman" w:hAnsi="Times New Roman" w:eastAsia="仿宋_GB2312"/>
          <w:sz w:val="32"/>
          <w:szCs w:val="32"/>
          <w:lang w:eastAsia="zh" w:bidi="ar"/>
        </w:rPr>
      </w:pPr>
    </w:p>
    <w:p>
      <w:pPr>
        <w:spacing w:line="560" w:lineRule="exact"/>
        <w:ind w:firstLine="640" w:firstLineChars="200"/>
        <w:rPr>
          <w:rFonts w:ascii="Times New Roman" w:hAnsi="Times New Roman" w:eastAsia="仿宋_GB2312"/>
          <w:sz w:val="32"/>
          <w:szCs w:val="32"/>
          <w:lang w:eastAsia="zh" w:bidi="ar"/>
        </w:rPr>
      </w:pPr>
    </w:p>
    <w:p>
      <w:pPr>
        <w:spacing w:line="560" w:lineRule="exact"/>
        <w:ind w:firstLine="640" w:firstLineChars="200"/>
        <w:rPr>
          <w:rFonts w:ascii="Times New Roman" w:hAnsi="Times New Roman" w:eastAsia="仿宋_GB2312"/>
          <w:sz w:val="32"/>
          <w:szCs w:val="32"/>
          <w:lang w:eastAsia="zh" w:bidi="ar"/>
        </w:rPr>
      </w:pPr>
    </w:p>
    <w:p>
      <w:pPr>
        <w:spacing w:line="560" w:lineRule="exact"/>
        <w:rPr>
          <w:rFonts w:ascii="Times New Roman" w:hAnsi="Times New Roman" w:eastAsia="仿宋_GB2312"/>
          <w:sz w:val="32"/>
          <w:szCs w:val="32"/>
          <w:lang w:eastAsia="zh" w:bidi="ar"/>
        </w:rPr>
      </w:pPr>
      <w:r>
        <w:rPr>
          <w:rFonts w:hint="eastAsia" w:ascii="Times New Roman" w:hAnsi="Times New Roman" w:eastAsia="仿宋_GB2312"/>
          <w:sz w:val="32"/>
          <w:szCs w:val="32"/>
          <w:lang w:eastAsia="zh" w:bidi="ar"/>
        </w:rPr>
        <w:t>附件：经济普查报表分配</w:t>
      </w:r>
      <w:bookmarkStart w:id="0" w:name="_GoBack"/>
      <w:bookmarkEnd w:id="0"/>
    </w:p>
    <w:p>
      <w:pPr>
        <w:spacing w:line="560" w:lineRule="exact"/>
        <w:rPr>
          <w:rFonts w:ascii="Times New Roman" w:hAnsi="Times New Roman" w:eastAsia="仿宋_GB2312"/>
          <w:sz w:val="32"/>
          <w:szCs w:val="32"/>
          <w:lang w:eastAsia="zh" w:bidi="ar"/>
        </w:rPr>
      </w:pPr>
    </w:p>
    <w:tbl>
      <w:tblPr>
        <w:tblStyle w:val="19"/>
        <w:tblW w:w="10470" w:type="dxa"/>
        <w:jc w:val="center"/>
        <w:tblLayout w:type="fixed"/>
        <w:tblCellMar>
          <w:top w:w="15" w:type="dxa"/>
          <w:left w:w="15" w:type="dxa"/>
          <w:bottom w:w="15" w:type="dxa"/>
          <w:right w:w="15" w:type="dxa"/>
        </w:tblCellMar>
      </w:tblPr>
      <w:tblGrid>
        <w:gridCol w:w="1002"/>
        <w:gridCol w:w="3246"/>
        <w:gridCol w:w="850"/>
        <w:gridCol w:w="1009"/>
        <w:gridCol w:w="791"/>
        <w:gridCol w:w="818"/>
        <w:gridCol w:w="926"/>
        <w:gridCol w:w="851"/>
        <w:gridCol w:w="977"/>
      </w:tblGrid>
      <w:tr>
        <w:tblPrEx>
          <w:tblCellMar>
            <w:top w:w="15" w:type="dxa"/>
            <w:left w:w="15" w:type="dxa"/>
            <w:bottom w:w="15" w:type="dxa"/>
            <w:right w:w="15" w:type="dxa"/>
          </w:tblCellMar>
        </w:tblPrEx>
        <w:trPr>
          <w:trHeight w:val="850" w:hRule="atLeast"/>
          <w:tblHeader/>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Times New Roman" w:hAnsi="Times New Roman" w:eastAsia="仿宋" w:cs="仿宋"/>
                <w:b/>
                <w:bCs/>
                <w:color w:val="000000"/>
                <w:sz w:val="22"/>
                <w:szCs w:val="22"/>
              </w:rPr>
            </w:pPr>
            <w:r>
              <w:rPr>
                <w:rFonts w:hint="eastAsia" w:ascii="Times New Roman" w:hAnsi="Times New Roman" w:eastAsia="仿宋" w:cs="仿宋"/>
                <w:b/>
                <w:bCs/>
                <w:color w:val="000000"/>
                <w:kern w:val="0"/>
                <w:sz w:val="22"/>
                <w:szCs w:val="22"/>
                <w:lang w:bidi="ar"/>
              </w:rPr>
              <w:t>表号</w:t>
            </w:r>
          </w:p>
        </w:tc>
        <w:tc>
          <w:tcPr>
            <w:tcW w:w="3246"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Times New Roman" w:hAnsi="Times New Roman" w:eastAsia="仿宋" w:cs="仿宋"/>
                <w:b/>
                <w:bCs/>
                <w:color w:val="000000"/>
                <w:sz w:val="22"/>
                <w:szCs w:val="22"/>
              </w:rPr>
            </w:pPr>
            <w:r>
              <w:rPr>
                <w:rFonts w:hint="eastAsia" w:ascii="Times New Roman" w:hAnsi="Times New Roman" w:eastAsia="仿宋" w:cs="仿宋"/>
                <w:b/>
                <w:bCs/>
                <w:color w:val="000000"/>
                <w:kern w:val="0"/>
                <w:sz w:val="22"/>
                <w:szCs w:val="22"/>
                <w:lang w:bidi="ar"/>
              </w:rPr>
              <w:t>表名</w:t>
            </w:r>
          </w:p>
        </w:tc>
        <w:tc>
          <w:tcPr>
            <w:tcW w:w="85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Times New Roman" w:hAnsi="Times New Roman" w:eastAsia="仿宋" w:cs="仿宋"/>
                <w:b/>
                <w:bCs/>
                <w:color w:val="000000"/>
                <w:kern w:val="0"/>
                <w:sz w:val="22"/>
                <w:szCs w:val="22"/>
                <w:lang w:bidi="ar"/>
              </w:rPr>
            </w:pPr>
            <w:r>
              <w:rPr>
                <w:rFonts w:hint="eastAsia" w:ascii="Times New Roman" w:hAnsi="Times New Roman" w:eastAsia="仿宋" w:cs="仿宋"/>
                <w:b/>
                <w:bCs/>
                <w:color w:val="000000"/>
                <w:kern w:val="0"/>
                <w:sz w:val="22"/>
                <w:szCs w:val="22"/>
                <w:lang w:bidi="ar"/>
              </w:rPr>
              <w:t>行政事业单位</w:t>
            </w:r>
          </w:p>
        </w:tc>
        <w:tc>
          <w:tcPr>
            <w:tcW w:w="100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Times New Roman" w:hAnsi="Times New Roman" w:eastAsia="仿宋" w:cs="仿宋"/>
                <w:b/>
                <w:bCs/>
                <w:color w:val="000000"/>
                <w:kern w:val="0"/>
                <w:sz w:val="22"/>
                <w:szCs w:val="22"/>
                <w:lang w:bidi="ar"/>
              </w:rPr>
            </w:pPr>
            <w:r>
              <w:rPr>
                <w:rFonts w:hint="eastAsia" w:ascii="Times New Roman" w:hAnsi="Times New Roman" w:eastAsia="仿宋" w:cs="仿宋"/>
                <w:b/>
                <w:bCs/>
                <w:color w:val="000000"/>
                <w:kern w:val="0"/>
                <w:sz w:val="22"/>
                <w:szCs w:val="22"/>
                <w:lang w:bidi="ar"/>
              </w:rPr>
              <w:t>资本市场服务业法人单位</w:t>
            </w:r>
          </w:p>
        </w:tc>
        <w:tc>
          <w:tcPr>
            <w:tcW w:w="79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Times New Roman" w:hAnsi="Times New Roman" w:eastAsia="仿宋" w:cs="仿宋"/>
                <w:b/>
                <w:bCs/>
                <w:color w:val="000000"/>
                <w:sz w:val="22"/>
                <w:szCs w:val="22"/>
              </w:rPr>
            </w:pPr>
            <w:r>
              <w:rPr>
                <w:rFonts w:hint="eastAsia" w:ascii="Times New Roman" w:hAnsi="Times New Roman" w:eastAsia="仿宋" w:cs="仿宋"/>
                <w:b/>
                <w:bCs/>
                <w:color w:val="000000"/>
                <w:kern w:val="0"/>
                <w:sz w:val="22"/>
                <w:szCs w:val="22"/>
                <w:lang w:bidi="ar"/>
              </w:rPr>
              <w:t>产业活动</w:t>
            </w:r>
            <w:r>
              <w:rPr>
                <w:rFonts w:ascii="Times New Roman" w:hAnsi="Times New Roman" w:eastAsia="仿宋" w:cs="仿宋"/>
                <w:b/>
                <w:bCs/>
                <w:color w:val="000000"/>
                <w:kern w:val="0"/>
                <w:sz w:val="22"/>
                <w:szCs w:val="22"/>
                <w:lang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Times New Roman" w:hAnsi="Times New Roman" w:eastAsia="仿宋" w:cs="仿宋"/>
                <w:b/>
                <w:bCs/>
                <w:color w:val="000000"/>
                <w:sz w:val="22"/>
                <w:szCs w:val="22"/>
              </w:rPr>
            </w:pPr>
            <w:r>
              <w:rPr>
                <w:rFonts w:hint="eastAsia" w:ascii="Times New Roman" w:hAnsi="Times New Roman" w:eastAsia="仿宋" w:cs="仿宋"/>
                <w:b/>
                <w:bCs/>
                <w:color w:val="000000"/>
                <w:kern w:val="0"/>
                <w:sz w:val="22"/>
                <w:szCs w:val="22"/>
                <w:lang w:bidi="ar"/>
              </w:rPr>
              <w:t>证券市场服务</w:t>
            </w:r>
            <w:r>
              <w:rPr>
                <w:rFonts w:ascii="Times New Roman" w:hAnsi="Times New Roman" w:eastAsia="仿宋" w:cs="仿宋"/>
                <w:b/>
                <w:bCs/>
                <w:color w:val="000000"/>
                <w:kern w:val="0"/>
                <w:sz w:val="22"/>
                <w:szCs w:val="22"/>
                <w:lang w:bidi="ar"/>
              </w:rPr>
              <w:t>法人单位</w:t>
            </w:r>
          </w:p>
        </w:tc>
        <w:tc>
          <w:tcPr>
            <w:tcW w:w="926"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widowControl/>
              <w:jc w:val="center"/>
              <w:textAlignment w:val="center"/>
              <w:rPr>
                <w:rFonts w:ascii="Times New Roman" w:hAnsi="Times New Roman" w:eastAsia="仿宋" w:cs="仿宋"/>
                <w:b/>
                <w:bCs/>
                <w:color w:val="000000"/>
                <w:kern w:val="0"/>
                <w:sz w:val="22"/>
                <w:szCs w:val="22"/>
                <w:lang w:bidi="ar"/>
              </w:rPr>
            </w:pPr>
            <w:r>
              <w:rPr>
                <w:rFonts w:hint="eastAsia" w:ascii="Times New Roman" w:hAnsi="Times New Roman" w:eastAsia="仿宋" w:cs="仿宋"/>
                <w:b/>
                <w:bCs/>
                <w:color w:val="000000"/>
                <w:kern w:val="0"/>
                <w:sz w:val="22"/>
                <w:szCs w:val="22"/>
                <w:lang w:bidi="ar"/>
              </w:rPr>
              <w:t>公开</w:t>
            </w:r>
            <w:r>
              <w:rPr>
                <w:rFonts w:ascii="Times New Roman" w:hAnsi="Times New Roman" w:eastAsia="仿宋" w:cs="仿宋"/>
                <w:b/>
                <w:bCs/>
                <w:color w:val="000000"/>
                <w:kern w:val="0"/>
                <w:sz w:val="22"/>
                <w:szCs w:val="22"/>
                <w:lang w:bidi="ar"/>
              </w:rPr>
              <w:t>募集证券投资基金法人单位</w:t>
            </w:r>
          </w:p>
        </w:tc>
        <w:tc>
          <w:tcPr>
            <w:tcW w:w="85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Times New Roman" w:hAnsi="Times New Roman" w:eastAsia="仿宋" w:cs="仿宋"/>
                <w:b/>
                <w:bCs/>
                <w:color w:val="000000"/>
                <w:sz w:val="22"/>
                <w:szCs w:val="22"/>
              </w:rPr>
            </w:pPr>
            <w:r>
              <w:rPr>
                <w:rFonts w:hint="eastAsia" w:ascii="Times New Roman" w:hAnsi="Times New Roman" w:eastAsia="仿宋" w:cs="仿宋"/>
                <w:b/>
                <w:bCs/>
                <w:color w:val="000000"/>
                <w:kern w:val="0"/>
                <w:sz w:val="22"/>
                <w:szCs w:val="22"/>
                <w:lang w:bidi="ar"/>
              </w:rPr>
              <w:t>私募基金管理人</w:t>
            </w:r>
          </w:p>
        </w:tc>
        <w:tc>
          <w:tcPr>
            <w:tcW w:w="97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Times New Roman" w:hAnsi="Times New Roman" w:eastAsia="仿宋" w:cs="仿宋"/>
                <w:b/>
                <w:bCs/>
                <w:color w:val="000000"/>
                <w:sz w:val="22"/>
                <w:szCs w:val="22"/>
              </w:rPr>
            </w:pPr>
            <w:r>
              <w:rPr>
                <w:rFonts w:hint="eastAsia" w:ascii="Times New Roman" w:hAnsi="Times New Roman" w:eastAsia="仿宋" w:cs="仿宋"/>
                <w:b/>
                <w:bCs/>
                <w:color w:val="000000"/>
                <w:kern w:val="0"/>
                <w:sz w:val="22"/>
                <w:szCs w:val="22"/>
                <w:lang w:bidi="ar"/>
              </w:rPr>
              <w:t>期货市场</w:t>
            </w:r>
            <w:r>
              <w:rPr>
                <w:rFonts w:ascii="Times New Roman" w:hAnsi="Times New Roman" w:eastAsia="仿宋" w:cs="仿宋"/>
                <w:b/>
                <w:bCs/>
                <w:color w:val="000000"/>
                <w:kern w:val="0"/>
                <w:sz w:val="22"/>
                <w:szCs w:val="22"/>
                <w:lang w:bidi="ar"/>
              </w:rPr>
              <w:t>服务法人单位</w:t>
            </w: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sz w:val="20"/>
                <w:szCs w:val="20"/>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封面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金融业调查单位基本情况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r>
      <w:tr>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金融业从业人员情况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sz w:val="20"/>
                <w:szCs w:val="20"/>
              </w:rPr>
            </w:pP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-2</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行政事业单位主要经济指标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-3</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证券业资产负债表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926" w:type="dxa"/>
            <w:tcBorders>
              <w:top w:val="single" w:color="000000" w:sz="4" w:space="0"/>
              <w:left w:val="single" w:color="000000" w:sz="4" w:space="0"/>
              <w:bottom w:val="single" w:color="000000" w:sz="4" w:space="0"/>
              <w:right w:val="single" w:color="000000" w:sz="4" w:space="0"/>
            </w:tcBorders>
          </w:tcPr>
          <w:p>
            <w:pPr>
              <w:ind w:firstLine="400"/>
              <w:jc w:val="center"/>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kern w:val="0"/>
                <w:sz w:val="20"/>
                <w:szCs w:val="20"/>
                <w:lang w:bidi="ar"/>
              </w:rPr>
            </w:pP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-4</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证券业利润和费用明细表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926" w:type="dxa"/>
            <w:tcBorders>
              <w:top w:val="single" w:color="000000" w:sz="4" w:space="0"/>
              <w:left w:val="single" w:color="000000" w:sz="4" w:space="0"/>
              <w:bottom w:val="single" w:color="000000" w:sz="4" w:space="0"/>
              <w:right w:val="single" w:color="000000" w:sz="4" w:space="0"/>
            </w:tcBorders>
          </w:tcPr>
          <w:p>
            <w:pPr>
              <w:ind w:firstLine="400"/>
              <w:jc w:val="center"/>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Times New Roman" w:hAnsi="Times New Roman" w:eastAsia="仿宋" w:cs="仿宋"/>
                <w:color w:val="000000"/>
                <w:kern w:val="0"/>
                <w:sz w:val="20"/>
                <w:szCs w:val="20"/>
                <w:lang w:bidi="ar"/>
              </w:rPr>
            </w:pPr>
          </w:p>
        </w:tc>
      </w:tr>
      <w:tr>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-5</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基金业资产负债表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-6</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基金业利润表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-7</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基金业业务及管理费用明细表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w:t>
            </w:r>
            <w:r>
              <w:rPr>
                <w:rFonts w:ascii="Times New Roman" w:hAnsi="Times New Roman" w:eastAsia="仿宋" w:cs="仿宋"/>
                <w:color w:val="000000"/>
                <w:kern w:val="0"/>
                <w:sz w:val="20"/>
                <w:szCs w:val="20"/>
                <w:lang w:bidi="ar"/>
              </w:rPr>
              <w:t>8</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私募基金业</w:t>
            </w:r>
            <w:r>
              <w:rPr>
                <w:rFonts w:ascii="Times New Roman" w:hAnsi="Times New Roman" w:eastAsia="仿宋" w:cs="仿宋"/>
                <w:color w:val="000000"/>
                <w:kern w:val="0"/>
                <w:sz w:val="20"/>
                <w:szCs w:val="20"/>
                <w:lang w:bidi="ar"/>
              </w:rPr>
              <w:t>财务状况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r>
      <w:tr>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w:t>
            </w:r>
            <w:r>
              <w:rPr>
                <w:rFonts w:ascii="Times New Roman" w:hAnsi="Times New Roman" w:eastAsia="仿宋" w:cs="仿宋"/>
                <w:color w:val="000000"/>
                <w:kern w:val="0"/>
                <w:sz w:val="20"/>
                <w:szCs w:val="20"/>
                <w:lang w:bidi="ar"/>
              </w:rPr>
              <w:t>9</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期货业资产负债表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Pr>
          <w:p>
            <w:pPr>
              <w:ind w:firstLine="400"/>
              <w:rPr>
                <w:rFonts w:ascii="Times New Roman" w:hAnsi="Times New Roman"/>
              </w:rPr>
            </w:pPr>
            <w:r>
              <w:rPr>
                <w:rFonts w:hint="eastAsia" w:ascii="Times New Roman" w:hAnsi="Times New Roman" w:eastAsia="仿宋" w:cs="仿宋"/>
                <w:color w:val="000000"/>
                <w:kern w:val="0"/>
                <w:sz w:val="20"/>
                <w:szCs w:val="20"/>
                <w:lang w:bidi="ar"/>
              </w:rPr>
              <w:t>√</w:t>
            </w: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w:t>
            </w:r>
            <w:r>
              <w:rPr>
                <w:rFonts w:ascii="Times New Roman" w:hAnsi="Times New Roman" w:eastAsia="仿宋" w:cs="仿宋"/>
                <w:color w:val="000000"/>
                <w:kern w:val="0"/>
                <w:sz w:val="20"/>
                <w:szCs w:val="20"/>
                <w:lang w:bidi="ar"/>
              </w:rPr>
              <w:t>10</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sz w:val="20"/>
                <w:szCs w:val="20"/>
              </w:rPr>
            </w:pPr>
            <w:r>
              <w:rPr>
                <w:rFonts w:hint="eastAsia" w:ascii="Times New Roman" w:hAnsi="Times New Roman" w:eastAsia="仿宋" w:cs="仿宋"/>
                <w:color w:val="000000"/>
                <w:kern w:val="0"/>
                <w:sz w:val="20"/>
                <w:szCs w:val="20"/>
                <w:lang w:bidi="ar"/>
              </w:rPr>
              <w:t>期货业利润和费用明细表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Pr>
          <w:p>
            <w:pPr>
              <w:ind w:firstLine="400"/>
              <w:rPr>
                <w:rFonts w:ascii="Times New Roman" w:hAnsi="Times New Roman"/>
              </w:rPr>
            </w:pPr>
            <w:r>
              <w:rPr>
                <w:rFonts w:hint="eastAsia" w:ascii="Times New Roman" w:hAnsi="Times New Roman" w:eastAsia="仿宋" w:cs="仿宋"/>
                <w:color w:val="000000"/>
                <w:kern w:val="0"/>
                <w:sz w:val="20"/>
                <w:szCs w:val="20"/>
                <w:lang w:bidi="ar"/>
              </w:rPr>
              <w:t>√</w:t>
            </w: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w:t>
            </w:r>
            <w:r>
              <w:rPr>
                <w:rFonts w:ascii="Times New Roman" w:hAnsi="Times New Roman" w:eastAsia="仿宋" w:cs="仿宋"/>
                <w:color w:val="000000"/>
                <w:kern w:val="0"/>
                <w:sz w:val="20"/>
                <w:szCs w:val="20"/>
                <w:lang w:bidi="ar"/>
              </w:rPr>
              <w:t>11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证券业企业投入结构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w:t>
            </w:r>
            <w:r>
              <w:rPr>
                <w:rFonts w:ascii="Times New Roman" w:hAnsi="Times New Roman" w:eastAsia="仿宋" w:cs="仿宋"/>
                <w:color w:val="000000"/>
                <w:kern w:val="0"/>
                <w:sz w:val="20"/>
                <w:szCs w:val="20"/>
                <w:lang w:bidi="ar"/>
              </w:rPr>
              <w:t>12</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基金业企业投入结构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r>
      <w:tr>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表61</w:t>
            </w:r>
            <w:r>
              <w:rPr>
                <w:rFonts w:ascii="Times New Roman" w:hAnsi="Times New Roman" w:eastAsia="仿宋" w:cs="仿宋"/>
                <w:color w:val="000000"/>
                <w:kern w:val="0"/>
                <w:sz w:val="20"/>
                <w:szCs w:val="20"/>
                <w:lang w:bidi="ar"/>
              </w:rPr>
              <w:t>5</w:t>
            </w:r>
            <w:r>
              <w:rPr>
                <w:rFonts w:hint="eastAsia" w:ascii="Times New Roman" w:hAnsi="Times New Roman" w:eastAsia="仿宋" w:cs="仿宋"/>
                <w:color w:val="000000"/>
                <w:kern w:val="0"/>
                <w:sz w:val="20"/>
                <w:szCs w:val="20"/>
                <w:lang w:bidi="ar"/>
              </w:rPr>
              <w:t>-</w:t>
            </w:r>
            <w:r>
              <w:rPr>
                <w:rFonts w:ascii="Times New Roman" w:hAnsi="Times New Roman" w:eastAsia="仿宋" w:cs="仿宋"/>
                <w:color w:val="000000"/>
                <w:kern w:val="0"/>
                <w:sz w:val="20"/>
                <w:szCs w:val="20"/>
                <w:lang w:bidi="ar"/>
              </w:rPr>
              <w:t>13</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期货业企业投入结构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r>
      <w:tr>
        <w:tblPrEx>
          <w:tblCellMar>
            <w:top w:w="15" w:type="dxa"/>
            <w:left w:w="15" w:type="dxa"/>
            <w:bottom w:w="15" w:type="dxa"/>
            <w:right w:w="15"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表JR</w:t>
            </w:r>
            <w:r>
              <w:rPr>
                <w:rFonts w:ascii="Times New Roman" w:hAnsi="Times New Roman" w:eastAsia="仿宋" w:cs="仿宋"/>
                <w:color w:val="000000"/>
                <w:kern w:val="0"/>
                <w:sz w:val="20"/>
                <w:szCs w:val="20"/>
                <w:lang w:bidi="ar"/>
              </w:rPr>
              <w:t>611</w:t>
            </w:r>
            <w:r>
              <w:rPr>
                <w:rFonts w:hint="eastAsia" w:ascii="Times New Roman" w:hAnsi="Times New Roman" w:eastAsia="仿宋" w:cs="仿宋"/>
                <w:color w:val="000000"/>
                <w:kern w:val="0"/>
                <w:sz w:val="20"/>
                <w:szCs w:val="20"/>
                <w:lang w:bidi="ar"/>
              </w:rPr>
              <w:t>-</w:t>
            </w:r>
            <w:r>
              <w:rPr>
                <w:rFonts w:ascii="Times New Roman" w:hAnsi="Times New Roman" w:eastAsia="仿宋" w:cs="仿宋"/>
                <w:color w:val="000000"/>
                <w:kern w:val="0"/>
                <w:sz w:val="20"/>
                <w:szCs w:val="20"/>
                <w:lang w:bidi="ar"/>
              </w:rPr>
              <w:t>6</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金融业行政事业单位收入和费用构成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p>
        </w:tc>
      </w:tr>
      <w:tr>
        <w:tblPrEx>
          <w:tblCellMar>
            <w:top w:w="15" w:type="dxa"/>
            <w:left w:w="15" w:type="dxa"/>
            <w:bottom w:w="15" w:type="dxa"/>
            <w:right w:w="15" w:type="dxa"/>
          </w:tblCellMar>
        </w:tblPrEx>
        <w:trPr>
          <w:trHeight w:val="454" w:hRule="atLeast"/>
          <w:jc w:val="center"/>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kern w:val="0"/>
                <w:sz w:val="20"/>
                <w:szCs w:val="20"/>
              </w:rPr>
              <w:t>合计报表数量（张）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ascii="Times New Roman" w:hAnsi="Times New Roman" w:eastAsia="仿宋" w:cs="仿宋"/>
                <w:color w:val="000000"/>
                <w:kern w:val="0"/>
                <w:sz w:val="20"/>
                <w:szCs w:val="20"/>
                <w:lang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ascii="Times New Roman" w:hAnsi="Times New Roman" w:eastAsia="仿宋" w:cs="仿宋"/>
                <w:color w:val="000000"/>
                <w:kern w:val="0"/>
                <w:sz w:val="20"/>
                <w:szCs w:val="20"/>
                <w:lang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ascii="Times New Roman" w:hAnsi="Times New Roman" w:eastAsia="仿宋" w:cs="仿宋"/>
                <w:color w:val="000000"/>
                <w:kern w:val="0"/>
                <w:sz w:val="20"/>
                <w:szCs w:val="20"/>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ascii="Times New Roman" w:hAnsi="Times New Roman" w:eastAsia="仿宋" w:cs="仿宋"/>
                <w:color w:val="000000"/>
                <w:kern w:val="0"/>
                <w:sz w:val="20"/>
                <w:szCs w:val="20"/>
                <w:lang w:bidi="ar"/>
              </w:rPr>
              <w:t>5</w:t>
            </w:r>
          </w:p>
        </w:tc>
        <w:tc>
          <w:tcPr>
            <w:tcW w:w="926"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hint="eastAsia" w:ascii="Times New Roman" w:hAnsi="Times New Roman" w:eastAsia="仿宋" w:cs="仿宋"/>
                <w:color w:val="000000"/>
                <w:kern w:val="0"/>
                <w:sz w:val="20"/>
                <w:szCs w:val="20"/>
                <w:lang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仿宋" w:cs="仿宋"/>
                <w:color w:val="000000"/>
                <w:kern w:val="0"/>
                <w:sz w:val="20"/>
                <w:szCs w:val="20"/>
                <w:lang w:bidi="ar"/>
              </w:rPr>
            </w:pPr>
            <w:r>
              <w:rPr>
                <w:rFonts w:ascii="Times New Roman" w:hAnsi="Times New Roman" w:eastAsia="仿宋" w:cs="仿宋"/>
                <w:color w:val="000000"/>
                <w:kern w:val="0"/>
                <w:sz w:val="20"/>
                <w:szCs w:val="20"/>
                <w:lang w:bidi="ar"/>
              </w:rPr>
              <w:t>5</w:t>
            </w:r>
          </w:p>
        </w:tc>
      </w:tr>
    </w:tbl>
    <w:p>
      <w:pPr>
        <w:spacing w:line="560" w:lineRule="exact"/>
        <w:rPr>
          <w:rFonts w:ascii="Times New Roman" w:hAnsi="Times New Roman" w:eastAsia="仿宋_GB2312"/>
          <w:sz w:val="32"/>
          <w:szCs w:val="32"/>
          <w:lang w:eastAsia="zh" w:bidi="ar"/>
        </w:rPr>
      </w:pPr>
    </w:p>
    <w:sectPr>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rPr>
          <w:rFonts w:hint="eastAsia"/>
        </w:rPr>
      </w:pPr>
      <w:r>
        <w:rPr>
          <w:rStyle w:val="23"/>
        </w:rPr>
        <w:footnoteRef/>
      </w:r>
      <w:r>
        <w:t xml:space="preserve"> </w:t>
      </w:r>
      <w:r>
        <w:rPr>
          <w:rFonts w:hint="eastAsia"/>
        </w:rPr>
        <w:t>本文所指总公司即在普查名录中列明的证券公司、基金公司和期货公司。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DD9E6"/>
    <w:multiLevelType w:val="singleLevel"/>
    <w:tmpl w:val="FC5DD9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94"/>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A24D9F"/>
    <w:rsid w:val="0001622D"/>
    <w:rsid w:val="000335EB"/>
    <w:rsid w:val="000451B8"/>
    <w:rsid w:val="000553AF"/>
    <w:rsid w:val="00055BBD"/>
    <w:rsid w:val="00063E48"/>
    <w:rsid w:val="000655E0"/>
    <w:rsid w:val="00086180"/>
    <w:rsid w:val="000A59A1"/>
    <w:rsid w:val="000D0903"/>
    <w:rsid w:val="000D2B7F"/>
    <w:rsid w:val="000D74B8"/>
    <w:rsid w:val="000E45E5"/>
    <w:rsid w:val="00100642"/>
    <w:rsid w:val="00102C68"/>
    <w:rsid w:val="00110C17"/>
    <w:rsid w:val="00122EFA"/>
    <w:rsid w:val="001301A2"/>
    <w:rsid w:val="00137934"/>
    <w:rsid w:val="00154DB7"/>
    <w:rsid w:val="00161ECF"/>
    <w:rsid w:val="00164F47"/>
    <w:rsid w:val="001678E2"/>
    <w:rsid w:val="001A567B"/>
    <w:rsid w:val="001A6E17"/>
    <w:rsid w:val="001B0766"/>
    <w:rsid w:val="001C0359"/>
    <w:rsid w:val="001C2A99"/>
    <w:rsid w:val="001C7D03"/>
    <w:rsid w:val="001D3B4D"/>
    <w:rsid w:val="001D7BDF"/>
    <w:rsid w:val="001E5BC6"/>
    <w:rsid w:val="00210A1E"/>
    <w:rsid w:val="00222751"/>
    <w:rsid w:val="00223E8E"/>
    <w:rsid w:val="002322D0"/>
    <w:rsid w:val="002437B0"/>
    <w:rsid w:val="00252523"/>
    <w:rsid w:val="002557A1"/>
    <w:rsid w:val="0027050F"/>
    <w:rsid w:val="00273143"/>
    <w:rsid w:val="002738FB"/>
    <w:rsid w:val="0029088D"/>
    <w:rsid w:val="00293109"/>
    <w:rsid w:val="002965DC"/>
    <w:rsid w:val="002A6308"/>
    <w:rsid w:val="002E23CE"/>
    <w:rsid w:val="002E439B"/>
    <w:rsid w:val="00300270"/>
    <w:rsid w:val="003026AF"/>
    <w:rsid w:val="00314E5A"/>
    <w:rsid w:val="00321038"/>
    <w:rsid w:val="003240BC"/>
    <w:rsid w:val="00325EB9"/>
    <w:rsid w:val="00331CF8"/>
    <w:rsid w:val="003426BF"/>
    <w:rsid w:val="0034342E"/>
    <w:rsid w:val="00345CA6"/>
    <w:rsid w:val="003525BD"/>
    <w:rsid w:val="003551B9"/>
    <w:rsid w:val="00373DB0"/>
    <w:rsid w:val="003743AD"/>
    <w:rsid w:val="0038571D"/>
    <w:rsid w:val="00392ED2"/>
    <w:rsid w:val="003A0470"/>
    <w:rsid w:val="003D4737"/>
    <w:rsid w:val="003E1478"/>
    <w:rsid w:val="003E3978"/>
    <w:rsid w:val="003F25AC"/>
    <w:rsid w:val="003F6906"/>
    <w:rsid w:val="0040543B"/>
    <w:rsid w:val="00434B97"/>
    <w:rsid w:val="0045231B"/>
    <w:rsid w:val="00452C6E"/>
    <w:rsid w:val="004769DF"/>
    <w:rsid w:val="004820C3"/>
    <w:rsid w:val="004B2AD4"/>
    <w:rsid w:val="004C1E06"/>
    <w:rsid w:val="004C6F5B"/>
    <w:rsid w:val="004D493C"/>
    <w:rsid w:val="004D7B71"/>
    <w:rsid w:val="004E128A"/>
    <w:rsid w:val="004E2476"/>
    <w:rsid w:val="004E6522"/>
    <w:rsid w:val="00501C2E"/>
    <w:rsid w:val="0051625B"/>
    <w:rsid w:val="0052084E"/>
    <w:rsid w:val="00544085"/>
    <w:rsid w:val="005453F3"/>
    <w:rsid w:val="00555B86"/>
    <w:rsid w:val="0055623B"/>
    <w:rsid w:val="005564E7"/>
    <w:rsid w:val="0056201A"/>
    <w:rsid w:val="0056350C"/>
    <w:rsid w:val="00564B1F"/>
    <w:rsid w:val="00565F2C"/>
    <w:rsid w:val="005664A4"/>
    <w:rsid w:val="00573BC5"/>
    <w:rsid w:val="0057723C"/>
    <w:rsid w:val="00581182"/>
    <w:rsid w:val="005838C9"/>
    <w:rsid w:val="005B50DD"/>
    <w:rsid w:val="005C5978"/>
    <w:rsid w:val="005C5F2D"/>
    <w:rsid w:val="005D30C7"/>
    <w:rsid w:val="005D6378"/>
    <w:rsid w:val="005F76B0"/>
    <w:rsid w:val="00603959"/>
    <w:rsid w:val="00617B09"/>
    <w:rsid w:val="00626EF8"/>
    <w:rsid w:val="00654ADE"/>
    <w:rsid w:val="00656740"/>
    <w:rsid w:val="00667DA6"/>
    <w:rsid w:val="0067182E"/>
    <w:rsid w:val="006804DF"/>
    <w:rsid w:val="00686651"/>
    <w:rsid w:val="00690E03"/>
    <w:rsid w:val="006A7C4F"/>
    <w:rsid w:val="006B20CB"/>
    <w:rsid w:val="006B4209"/>
    <w:rsid w:val="006C70BE"/>
    <w:rsid w:val="007140EC"/>
    <w:rsid w:val="00720732"/>
    <w:rsid w:val="00743355"/>
    <w:rsid w:val="007505A9"/>
    <w:rsid w:val="00752810"/>
    <w:rsid w:val="007632B9"/>
    <w:rsid w:val="007651F4"/>
    <w:rsid w:val="00773935"/>
    <w:rsid w:val="0077704A"/>
    <w:rsid w:val="007A3DFF"/>
    <w:rsid w:val="007B3236"/>
    <w:rsid w:val="007D44AE"/>
    <w:rsid w:val="007E5348"/>
    <w:rsid w:val="007E7F63"/>
    <w:rsid w:val="0080744D"/>
    <w:rsid w:val="00810617"/>
    <w:rsid w:val="00813BBD"/>
    <w:rsid w:val="008209FE"/>
    <w:rsid w:val="008240A4"/>
    <w:rsid w:val="008356F2"/>
    <w:rsid w:val="0083679F"/>
    <w:rsid w:val="008459A0"/>
    <w:rsid w:val="0084649A"/>
    <w:rsid w:val="00860F26"/>
    <w:rsid w:val="008850F4"/>
    <w:rsid w:val="008A4DE1"/>
    <w:rsid w:val="008B572B"/>
    <w:rsid w:val="008C2B0E"/>
    <w:rsid w:val="008C31C7"/>
    <w:rsid w:val="008C3E45"/>
    <w:rsid w:val="008C5BA0"/>
    <w:rsid w:val="008E2033"/>
    <w:rsid w:val="008E5E6C"/>
    <w:rsid w:val="008F3A41"/>
    <w:rsid w:val="008F5717"/>
    <w:rsid w:val="008F6988"/>
    <w:rsid w:val="0090572C"/>
    <w:rsid w:val="00923D1E"/>
    <w:rsid w:val="0092589C"/>
    <w:rsid w:val="00933272"/>
    <w:rsid w:val="009442CD"/>
    <w:rsid w:val="00946751"/>
    <w:rsid w:val="0095172C"/>
    <w:rsid w:val="0096259A"/>
    <w:rsid w:val="00962D5B"/>
    <w:rsid w:val="00971A87"/>
    <w:rsid w:val="00976442"/>
    <w:rsid w:val="00987584"/>
    <w:rsid w:val="00990395"/>
    <w:rsid w:val="009A2827"/>
    <w:rsid w:val="009A2FD1"/>
    <w:rsid w:val="009C5C75"/>
    <w:rsid w:val="009F4250"/>
    <w:rsid w:val="009F4C6A"/>
    <w:rsid w:val="00A13AA8"/>
    <w:rsid w:val="00A2145C"/>
    <w:rsid w:val="00A303F2"/>
    <w:rsid w:val="00A4364D"/>
    <w:rsid w:val="00A4727C"/>
    <w:rsid w:val="00A556CE"/>
    <w:rsid w:val="00A70E73"/>
    <w:rsid w:val="00A73AC2"/>
    <w:rsid w:val="00A8173E"/>
    <w:rsid w:val="00A86E17"/>
    <w:rsid w:val="00A87CF9"/>
    <w:rsid w:val="00AA03B7"/>
    <w:rsid w:val="00AA5790"/>
    <w:rsid w:val="00AB7661"/>
    <w:rsid w:val="00AD034A"/>
    <w:rsid w:val="00AD1667"/>
    <w:rsid w:val="00AE2147"/>
    <w:rsid w:val="00AE3752"/>
    <w:rsid w:val="00AF1B4E"/>
    <w:rsid w:val="00AF6780"/>
    <w:rsid w:val="00B03079"/>
    <w:rsid w:val="00B12168"/>
    <w:rsid w:val="00B15976"/>
    <w:rsid w:val="00B20725"/>
    <w:rsid w:val="00B23D64"/>
    <w:rsid w:val="00B30680"/>
    <w:rsid w:val="00B437E4"/>
    <w:rsid w:val="00B52A1C"/>
    <w:rsid w:val="00B61920"/>
    <w:rsid w:val="00B64E29"/>
    <w:rsid w:val="00B71751"/>
    <w:rsid w:val="00B72A40"/>
    <w:rsid w:val="00B76D24"/>
    <w:rsid w:val="00B83600"/>
    <w:rsid w:val="00B864AB"/>
    <w:rsid w:val="00BB2044"/>
    <w:rsid w:val="00BB524E"/>
    <w:rsid w:val="00BC7D8E"/>
    <w:rsid w:val="00BF10B6"/>
    <w:rsid w:val="00BF53A3"/>
    <w:rsid w:val="00BF56A4"/>
    <w:rsid w:val="00C03D99"/>
    <w:rsid w:val="00C14B1F"/>
    <w:rsid w:val="00C20FE0"/>
    <w:rsid w:val="00C254A6"/>
    <w:rsid w:val="00C45F3A"/>
    <w:rsid w:val="00C534BF"/>
    <w:rsid w:val="00C63B34"/>
    <w:rsid w:val="00C66A89"/>
    <w:rsid w:val="00C73B44"/>
    <w:rsid w:val="00C83D39"/>
    <w:rsid w:val="00C95EE4"/>
    <w:rsid w:val="00CA0C7E"/>
    <w:rsid w:val="00CA3656"/>
    <w:rsid w:val="00CA6DEF"/>
    <w:rsid w:val="00CB77A4"/>
    <w:rsid w:val="00CC6B87"/>
    <w:rsid w:val="00CD14DE"/>
    <w:rsid w:val="00CD4C41"/>
    <w:rsid w:val="00CE3E6E"/>
    <w:rsid w:val="00CE63CB"/>
    <w:rsid w:val="00CF24BE"/>
    <w:rsid w:val="00CF5DF2"/>
    <w:rsid w:val="00D14EF8"/>
    <w:rsid w:val="00D30065"/>
    <w:rsid w:val="00D35F6C"/>
    <w:rsid w:val="00D4340C"/>
    <w:rsid w:val="00D54275"/>
    <w:rsid w:val="00D63405"/>
    <w:rsid w:val="00D64FB0"/>
    <w:rsid w:val="00D7177F"/>
    <w:rsid w:val="00D73004"/>
    <w:rsid w:val="00D7766A"/>
    <w:rsid w:val="00D9253C"/>
    <w:rsid w:val="00DA0939"/>
    <w:rsid w:val="00DB176C"/>
    <w:rsid w:val="00DB5C31"/>
    <w:rsid w:val="00DC212D"/>
    <w:rsid w:val="00DD0704"/>
    <w:rsid w:val="00DD3DC5"/>
    <w:rsid w:val="00DE7A95"/>
    <w:rsid w:val="00DF139F"/>
    <w:rsid w:val="00DF41BF"/>
    <w:rsid w:val="00DF556C"/>
    <w:rsid w:val="00DF7EEB"/>
    <w:rsid w:val="00E11008"/>
    <w:rsid w:val="00E20100"/>
    <w:rsid w:val="00E2305A"/>
    <w:rsid w:val="00E33184"/>
    <w:rsid w:val="00E43DD8"/>
    <w:rsid w:val="00E4430D"/>
    <w:rsid w:val="00E47529"/>
    <w:rsid w:val="00E61012"/>
    <w:rsid w:val="00E7395D"/>
    <w:rsid w:val="00E8327A"/>
    <w:rsid w:val="00EA0C80"/>
    <w:rsid w:val="00EB74AA"/>
    <w:rsid w:val="00EC41D4"/>
    <w:rsid w:val="00ED5BE7"/>
    <w:rsid w:val="00EE122D"/>
    <w:rsid w:val="00EE1398"/>
    <w:rsid w:val="00EE1D1B"/>
    <w:rsid w:val="00F26CEE"/>
    <w:rsid w:val="00F371B8"/>
    <w:rsid w:val="00F43375"/>
    <w:rsid w:val="00F54862"/>
    <w:rsid w:val="00F57F70"/>
    <w:rsid w:val="00F77365"/>
    <w:rsid w:val="00F95CA9"/>
    <w:rsid w:val="00FA5954"/>
    <w:rsid w:val="00FB638D"/>
    <w:rsid w:val="00FD356C"/>
    <w:rsid w:val="00FD4025"/>
    <w:rsid w:val="00FF33B1"/>
    <w:rsid w:val="07011CC2"/>
    <w:rsid w:val="07644792"/>
    <w:rsid w:val="09284798"/>
    <w:rsid w:val="0F2B6FD9"/>
    <w:rsid w:val="183C240D"/>
    <w:rsid w:val="1AA24D9F"/>
    <w:rsid w:val="1CF12CFF"/>
    <w:rsid w:val="1DFEFDDF"/>
    <w:rsid w:val="1FCFFE9F"/>
    <w:rsid w:val="1FDBB7F6"/>
    <w:rsid w:val="21965CB4"/>
    <w:rsid w:val="27288622"/>
    <w:rsid w:val="28DA2E89"/>
    <w:rsid w:val="2A4254F9"/>
    <w:rsid w:val="2D1F32F4"/>
    <w:rsid w:val="2D4D2D2D"/>
    <w:rsid w:val="323B4D81"/>
    <w:rsid w:val="34B70380"/>
    <w:rsid w:val="3A2DF95E"/>
    <w:rsid w:val="3AE174A3"/>
    <w:rsid w:val="3B5BDF59"/>
    <w:rsid w:val="3DAFE413"/>
    <w:rsid w:val="3F7E6E8B"/>
    <w:rsid w:val="3FBF2F89"/>
    <w:rsid w:val="3FBF813A"/>
    <w:rsid w:val="43446334"/>
    <w:rsid w:val="44A84E71"/>
    <w:rsid w:val="477DCE1E"/>
    <w:rsid w:val="4AF77CAE"/>
    <w:rsid w:val="4FA91740"/>
    <w:rsid w:val="56833783"/>
    <w:rsid w:val="573E1E21"/>
    <w:rsid w:val="577B18DA"/>
    <w:rsid w:val="57CB6866"/>
    <w:rsid w:val="58DB2EA9"/>
    <w:rsid w:val="59D75337"/>
    <w:rsid w:val="59FD9067"/>
    <w:rsid w:val="5AFF90DA"/>
    <w:rsid w:val="5B487E91"/>
    <w:rsid w:val="5CF7BBBC"/>
    <w:rsid w:val="5CF9550F"/>
    <w:rsid w:val="5CFD514D"/>
    <w:rsid w:val="5CFF99B9"/>
    <w:rsid w:val="5EFEBDE8"/>
    <w:rsid w:val="5FB4FD9F"/>
    <w:rsid w:val="5FDF3D47"/>
    <w:rsid w:val="5FF85677"/>
    <w:rsid w:val="68CA2609"/>
    <w:rsid w:val="68CC1AED"/>
    <w:rsid w:val="69B7ECA8"/>
    <w:rsid w:val="69BB0F42"/>
    <w:rsid w:val="6A637494"/>
    <w:rsid w:val="6AFE9AF9"/>
    <w:rsid w:val="6BCF62E6"/>
    <w:rsid w:val="6BFFBA67"/>
    <w:rsid w:val="6CD3A16D"/>
    <w:rsid w:val="6D535020"/>
    <w:rsid w:val="6DEC2E7A"/>
    <w:rsid w:val="6E5F49A6"/>
    <w:rsid w:val="6F3F9F5D"/>
    <w:rsid w:val="6F5F1AC7"/>
    <w:rsid w:val="6FFF37D2"/>
    <w:rsid w:val="70DE2EF1"/>
    <w:rsid w:val="73A904D2"/>
    <w:rsid w:val="73B9556D"/>
    <w:rsid w:val="746AE648"/>
    <w:rsid w:val="746EC716"/>
    <w:rsid w:val="75735E11"/>
    <w:rsid w:val="77097AEC"/>
    <w:rsid w:val="777D4992"/>
    <w:rsid w:val="77BE08C2"/>
    <w:rsid w:val="77E86EE7"/>
    <w:rsid w:val="77FF90C0"/>
    <w:rsid w:val="79CE9935"/>
    <w:rsid w:val="7B6571AC"/>
    <w:rsid w:val="7B98C86B"/>
    <w:rsid w:val="7C5F4108"/>
    <w:rsid w:val="7E725B7E"/>
    <w:rsid w:val="7EFB6828"/>
    <w:rsid w:val="7EFE1E31"/>
    <w:rsid w:val="7EFFB781"/>
    <w:rsid w:val="7F390418"/>
    <w:rsid w:val="7F65A424"/>
    <w:rsid w:val="7F79C282"/>
    <w:rsid w:val="7F7B6CAE"/>
    <w:rsid w:val="7F9E45C8"/>
    <w:rsid w:val="7FB3CF6A"/>
    <w:rsid w:val="7FBF6DD0"/>
    <w:rsid w:val="7FCD17FE"/>
    <w:rsid w:val="7FD7E9A0"/>
    <w:rsid w:val="7FDE2489"/>
    <w:rsid w:val="7FE9FBB2"/>
    <w:rsid w:val="7FFC355E"/>
    <w:rsid w:val="7FFD15F8"/>
    <w:rsid w:val="7FFE3FFC"/>
    <w:rsid w:val="7FFF7A01"/>
    <w:rsid w:val="8FFFA67E"/>
    <w:rsid w:val="9D5E4770"/>
    <w:rsid w:val="A97F623E"/>
    <w:rsid w:val="ABB7A8D3"/>
    <w:rsid w:val="AFBF8780"/>
    <w:rsid w:val="B6E92EE0"/>
    <w:rsid w:val="B77F7AF3"/>
    <w:rsid w:val="B7EE6E89"/>
    <w:rsid w:val="B8F98089"/>
    <w:rsid w:val="BB5F6BF8"/>
    <w:rsid w:val="BBAE590C"/>
    <w:rsid w:val="BEEFCB4B"/>
    <w:rsid w:val="BF977085"/>
    <w:rsid w:val="BFE6F841"/>
    <w:rsid w:val="BFFCCA52"/>
    <w:rsid w:val="CEA3B959"/>
    <w:rsid w:val="CF7AD292"/>
    <w:rsid w:val="CFFF51FF"/>
    <w:rsid w:val="D5DE8897"/>
    <w:rsid w:val="D7BFB6C7"/>
    <w:rsid w:val="D8E9A3C1"/>
    <w:rsid w:val="DBBFD498"/>
    <w:rsid w:val="DD7F6DC8"/>
    <w:rsid w:val="DD7FCBC6"/>
    <w:rsid w:val="DDD1D718"/>
    <w:rsid w:val="E5BBEEEF"/>
    <w:rsid w:val="E7E7F329"/>
    <w:rsid w:val="E7FE3684"/>
    <w:rsid w:val="E9D7FD26"/>
    <w:rsid w:val="EA3F94D4"/>
    <w:rsid w:val="EDB9628C"/>
    <w:rsid w:val="EECE786E"/>
    <w:rsid w:val="EFBF0EA2"/>
    <w:rsid w:val="EFFE64B8"/>
    <w:rsid w:val="EFFF70E4"/>
    <w:rsid w:val="F3F744D1"/>
    <w:rsid w:val="F5DD858B"/>
    <w:rsid w:val="F6A65EC4"/>
    <w:rsid w:val="F7EEC240"/>
    <w:rsid w:val="F7F7CD15"/>
    <w:rsid w:val="FB6710C1"/>
    <w:rsid w:val="FBF75102"/>
    <w:rsid w:val="FD79C591"/>
    <w:rsid w:val="FD7F38B0"/>
    <w:rsid w:val="FDBED323"/>
    <w:rsid w:val="FDDC5620"/>
    <w:rsid w:val="FDEA700A"/>
    <w:rsid w:val="FDF5F422"/>
    <w:rsid w:val="FDFFF597"/>
    <w:rsid w:val="FE7B8C03"/>
    <w:rsid w:val="FED78934"/>
    <w:rsid w:val="FF7D11E6"/>
    <w:rsid w:val="FFBFCE42"/>
    <w:rsid w:val="FFD94A85"/>
    <w:rsid w:val="FFF0E5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spacing w:after="160" w:line="278" w:lineRule="auto"/>
      <w:ind w:firstLine="420" w:firstLineChars="200"/>
    </w:pPr>
    <w:rPr>
      <w:rFonts w:ascii="Times New Roman" w:hAnsi="Times New Roman" w:eastAsia="宋体"/>
    </w:rPr>
  </w:style>
  <w:style w:type="paragraph" w:styleId="12">
    <w:name w:val="Body Text"/>
    <w:basedOn w:val="1"/>
    <w:link w:val="26"/>
    <w:qFormat/>
    <w:uiPriority w:val="0"/>
    <w:pPr>
      <w:spacing w:after="120"/>
    </w:pPr>
  </w:style>
  <w:style w:type="paragraph" w:styleId="13">
    <w:name w:val="annotation text"/>
    <w:basedOn w:val="1"/>
    <w:link w:val="30"/>
    <w:qFormat/>
    <w:uiPriority w:val="0"/>
    <w:pPr>
      <w:jc w:val="left"/>
    </w:pPr>
  </w:style>
  <w:style w:type="paragraph" w:styleId="14">
    <w:name w:val="Body Text Indent"/>
    <w:basedOn w:val="1"/>
    <w:link w:val="27"/>
    <w:qFormat/>
    <w:uiPriority w:val="0"/>
    <w:pPr>
      <w:spacing w:after="120"/>
      <w:ind w:left="420" w:leftChars="200"/>
    </w:pPr>
  </w:style>
  <w:style w:type="paragraph" w:styleId="15">
    <w:name w:val="footer"/>
    <w:basedOn w:val="1"/>
    <w:link w:val="25"/>
    <w:qFormat/>
    <w:uiPriority w:val="99"/>
    <w:pPr>
      <w:tabs>
        <w:tab w:val="center" w:pos="4153"/>
        <w:tab w:val="right" w:pos="8306"/>
      </w:tabs>
      <w:snapToGrid w:val="0"/>
      <w:jc w:val="left"/>
    </w:pPr>
    <w:rPr>
      <w:sz w:val="18"/>
      <w:szCs w:val="18"/>
    </w:rPr>
  </w:style>
  <w:style w:type="paragraph" w:styleId="1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34"/>
    <w:qFormat/>
    <w:uiPriority w:val="0"/>
    <w:pPr>
      <w:snapToGrid w:val="0"/>
      <w:jc w:val="left"/>
    </w:pPr>
    <w:rPr>
      <w:sz w:val="18"/>
      <w:szCs w:val="18"/>
    </w:rPr>
  </w:style>
  <w:style w:type="paragraph" w:styleId="18">
    <w:name w:val="Body Text First Indent 2"/>
    <w:basedOn w:val="14"/>
    <w:link w:val="28"/>
    <w:unhideWhenUsed/>
    <w:qFormat/>
    <w:uiPriority w:val="0"/>
    <w:pPr>
      <w:spacing w:line="278" w:lineRule="auto"/>
      <w:ind w:firstLine="420" w:firstLineChars="200"/>
    </w:pPr>
    <w:rPr>
      <w:rFonts w:ascii="Calibri" w:hAnsi="Calibri" w:eastAsia="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character" w:styleId="23">
    <w:name w:val="footnote reference"/>
    <w:basedOn w:val="21"/>
    <w:qFormat/>
    <w:uiPriority w:val="0"/>
    <w:rPr>
      <w:vertAlign w:val="superscript"/>
    </w:rPr>
  </w:style>
  <w:style w:type="character" w:customStyle="1" w:styleId="24">
    <w:name w:val="页眉 字符"/>
    <w:basedOn w:val="21"/>
    <w:link w:val="16"/>
    <w:qFormat/>
    <w:uiPriority w:val="0"/>
    <w:rPr>
      <w:rFonts w:ascii="Arial" w:hAnsi="Arial" w:eastAsia="微软雅黑"/>
      <w:kern w:val="2"/>
      <w:sz w:val="18"/>
      <w:szCs w:val="18"/>
    </w:rPr>
  </w:style>
  <w:style w:type="character" w:customStyle="1" w:styleId="25">
    <w:name w:val="页脚 字符"/>
    <w:basedOn w:val="21"/>
    <w:link w:val="15"/>
    <w:qFormat/>
    <w:uiPriority w:val="99"/>
    <w:rPr>
      <w:rFonts w:ascii="Arial" w:hAnsi="Arial" w:eastAsia="微软雅黑"/>
      <w:kern w:val="2"/>
      <w:sz w:val="18"/>
      <w:szCs w:val="18"/>
    </w:rPr>
  </w:style>
  <w:style w:type="character" w:customStyle="1" w:styleId="26">
    <w:name w:val="正文文本 字符"/>
    <w:basedOn w:val="21"/>
    <w:link w:val="12"/>
    <w:qFormat/>
    <w:uiPriority w:val="0"/>
    <w:rPr>
      <w:rFonts w:ascii="Arial" w:hAnsi="Arial" w:eastAsia="微软雅黑"/>
      <w:kern w:val="2"/>
      <w:sz w:val="21"/>
      <w:szCs w:val="24"/>
    </w:rPr>
  </w:style>
  <w:style w:type="character" w:customStyle="1" w:styleId="27">
    <w:name w:val="正文文本缩进 字符"/>
    <w:basedOn w:val="21"/>
    <w:link w:val="14"/>
    <w:qFormat/>
    <w:uiPriority w:val="0"/>
    <w:rPr>
      <w:rFonts w:ascii="Arial" w:hAnsi="Arial" w:eastAsia="微软雅黑"/>
      <w:kern w:val="2"/>
      <w:sz w:val="21"/>
      <w:szCs w:val="24"/>
    </w:rPr>
  </w:style>
  <w:style w:type="character" w:customStyle="1" w:styleId="28">
    <w:name w:val="正文文本首行缩进 2 字符"/>
    <w:basedOn w:val="27"/>
    <w:link w:val="18"/>
    <w:qFormat/>
    <w:uiPriority w:val="0"/>
    <w:rPr>
      <w:rFonts w:ascii="Calibri" w:hAnsi="Calibri" w:eastAsia="微软雅黑"/>
      <w:kern w:val="2"/>
      <w:sz w:val="21"/>
      <w:szCs w:val="24"/>
    </w:rPr>
  </w:style>
  <w:style w:type="paragraph" w:customStyle="1" w:styleId="29">
    <w:name w:val="修订1"/>
    <w:hidden/>
    <w:unhideWhenUsed/>
    <w:qFormat/>
    <w:uiPriority w:val="99"/>
    <w:rPr>
      <w:rFonts w:ascii="Arial" w:hAnsi="Arial" w:eastAsia="微软雅黑" w:cs="Times New Roman"/>
      <w:kern w:val="2"/>
      <w:sz w:val="21"/>
      <w:szCs w:val="24"/>
      <w:lang w:val="en-US" w:eastAsia="zh-CN" w:bidi="ar-SA"/>
    </w:rPr>
  </w:style>
  <w:style w:type="character" w:customStyle="1" w:styleId="30">
    <w:name w:val="批注文字 字符"/>
    <w:basedOn w:val="21"/>
    <w:link w:val="13"/>
    <w:qFormat/>
    <w:uiPriority w:val="0"/>
    <w:rPr>
      <w:rFonts w:ascii="Arial" w:hAnsi="Arial" w:eastAsia="微软雅黑"/>
      <w:kern w:val="2"/>
      <w:sz w:val="21"/>
      <w:szCs w:val="24"/>
    </w:rPr>
  </w:style>
  <w:style w:type="paragraph" w:customStyle="1" w:styleId="31">
    <w:name w:val="图片注释"/>
    <w:basedOn w:val="1"/>
    <w:link w:val="32"/>
    <w:qFormat/>
    <w:uiPriority w:val="0"/>
    <w:pPr>
      <w:spacing w:line="360" w:lineRule="auto"/>
      <w:jc w:val="center"/>
    </w:pPr>
    <w:rPr>
      <w:rFonts w:ascii="Calibri" w:hAnsi="Calibri" w:eastAsia="仿宋_GB2312"/>
      <w:sz w:val="24"/>
      <w:szCs w:val="21"/>
    </w:rPr>
  </w:style>
  <w:style w:type="character" w:customStyle="1" w:styleId="32">
    <w:name w:val="图片注释 Char"/>
    <w:link w:val="31"/>
    <w:qFormat/>
    <w:uiPriority w:val="0"/>
    <w:rPr>
      <w:rFonts w:ascii="Calibri" w:hAnsi="Calibri" w:eastAsia="仿宋_GB2312"/>
      <w:kern w:val="2"/>
      <w:sz w:val="24"/>
      <w:szCs w:val="21"/>
    </w:rPr>
  </w:style>
  <w:style w:type="paragraph" w:customStyle="1" w:styleId="33">
    <w:name w:val="Revision"/>
    <w:hidden/>
    <w:unhideWhenUsed/>
    <w:qFormat/>
    <w:uiPriority w:val="99"/>
    <w:rPr>
      <w:rFonts w:ascii="Arial" w:hAnsi="Arial" w:eastAsia="微软雅黑" w:cs="Times New Roman"/>
      <w:kern w:val="2"/>
      <w:sz w:val="21"/>
      <w:szCs w:val="24"/>
      <w:lang w:val="en-US" w:eastAsia="zh-CN" w:bidi="ar-SA"/>
    </w:rPr>
  </w:style>
  <w:style w:type="character" w:customStyle="1" w:styleId="34">
    <w:name w:val="脚注文本 字符"/>
    <w:basedOn w:val="21"/>
    <w:link w:val="17"/>
    <w:qFormat/>
    <w:uiPriority w:val="0"/>
    <w:rPr>
      <w:rFonts w:ascii="Arial" w:hAnsi="Arial" w:eastAsia="微软雅黑"/>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5680</Words>
  <Characters>473</Characters>
  <Lines>3</Lines>
  <Paragraphs>12</Paragraphs>
  <TotalTime>26</TotalTime>
  <ScaleCrop>false</ScaleCrop>
  <LinksUpToDate>false</LinksUpToDate>
  <CharactersWithSpaces>6141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2024-04-10T06:05:00Z</dcterms:created>
  <dc:creator>Dylan's</dc:creator>
  <cp:lastModifiedBy>宋海亮</cp:lastModifiedBy>
  <dcterms:modified xsi:type="dcterms:W3CDTF">2024-04-11T20:11:34Z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50D4711B4300EFBCACE61566F12C5FF0</vt:lpwstr>
  </property>
</Properties>
</file>